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557B20B4" w14:textId="77777777" w:rsidR="00693C2B" w:rsidRDefault="00693C2B" w:rsidP="00693C2B">
      <w:pPr>
        <w:spacing w:line="240" w:lineRule="auto"/>
        <w:ind w:right="51"/>
        <w:contextualSpacing/>
        <w:jc w:val="both"/>
        <w:rPr>
          <w:rFonts w:ascii="Work Sans" w:hAnsi="Work Sans" w:cs="Arial"/>
          <w:sz w:val="24"/>
        </w:rPr>
      </w:pPr>
      <w:r w:rsidRPr="00AA416A">
        <w:rPr>
          <w:rFonts w:ascii="Work Sans" w:hAnsi="Work Sans" w:cs="Arial"/>
          <w:sz w:val="24"/>
        </w:rPr>
        <w:t>Cordial saludo;</w:t>
      </w:r>
    </w:p>
    <w:p w14:paraId="6FA27BB2" w14:textId="77777777" w:rsidR="00693C2B" w:rsidRPr="00AA416A" w:rsidRDefault="00693C2B" w:rsidP="00693C2B">
      <w:pPr>
        <w:spacing w:line="240" w:lineRule="auto"/>
        <w:ind w:right="51"/>
        <w:contextualSpacing/>
        <w:jc w:val="both"/>
        <w:rPr>
          <w:rFonts w:ascii="Work Sans" w:hAnsi="Work Sans" w:cs="Arial"/>
          <w:sz w:val="24"/>
        </w:rPr>
      </w:pPr>
    </w:p>
    <w:p w14:paraId="7CF5562B" w14:textId="42166723" w:rsidR="0068371F" w:rsidRDefault="0021775D" w:rsidP="0021775D">
      <w:pPr>
        <w:spacing w:after="0" w:line="240" w:lineRule="auto"/>
        <w:ind w:right="51"/>
        <w:contextualSpacing/>
        <w:jc w:val="both"/>
        <w:rPr>
          <w:rFonts w:ascii="Work Sans" w:hAnsi="Work Sans" w:cs="Work Sans"/>
          <w:color w:val="000000"/>
          <w:sz w:val="24"/>
          <w:szCs w:val="24"/>
        </w:rPr>
      </w:pPr>
      <w:r w:rsidRPr="00FA39E8">
        <w:rPr>
          <w:rFonts w:ascii="Work Sans" w:hAnsi="Work Sans" w:cs="Work Sans"/>
          <w:color w:val="000000"/>
          <w:sz w:val="24"/>
          <w:szCs w:val="24"/>
        </w:rPr>
        <w:t xml:space="preserve">En atención a la comunicación </w:t>
      </w:r>
      <w:r w:rsidR="00FA39E8" w:rsidRPr="00FA39E8">
        <w:rPr>
          <w:rFonts w:ascii="Work Sans" w:hAnsi="Work Sans" w:cs="Work Sans"/>
          <w:color w:val="000000"/>
          <w:sz w:val="24"/>
          <w:szCs w:val="24"/>
        </w:rPr>
        <w:t xml:space="preserve">con radicado </w:t>
      </w:r>
      <w:r w:rsidRPr="00FA39E8">
        <w:rPr>
          <w:rFonts w:ascii="Work Sans" w:hAnsi="Work Sans" w:cs="Work Sans"/>
          <w:color w:val="000000"/>
          <w:sz w:val="24"/>
          <w:szCs w:val="24"/>
        </w:rPr>
        <w:t>núm</w:t>
      </w:r>
      <w:r w:rsidR="00FA39E8" w:rsidRPr="00FA39E8">
        <w:rPr>
          <w:rFonts w:ascii="Work Sans" w:hAnsi="Work Sans" w:cs="Work Sans"/>
          <w:color w:val="000000"/>
          <w:sz w:val="24"/>
          <w:szCs w:val="24"/>
        </w:rPr>
        <w:t>ero</w:t>
      </w:r>
      <w:r w:rsidRPr="00FA39E8">
        <w:rPr>
          <w:rFonts w:ascii="Work Sans" w:hAnsi="Work Sans" w:cs="Work Sans"/>
          <w:color w:val="000000"/>
          <w:sz w:val="24"/>
          <w:szCs w:val="24"/>
        </w:rPr>
        <w:t xml:space="preserve"> </w:t>
      </w:r>
      <w:r w:rsidR="009E31D7" w:rsidRPr="009E31D7">
        <w:rPr>
          <w:rFonts w:ascii="Work Sans" w:hAnsi="Work Sans" w:cs="Work Sans"/>
          <w:color w:val="000000"/>
          <w:sz w:val="24"/>
          <w:szCs w:val="24"/>
        </w:rPr>
        <w:t>1-2026-015956</w:t>
      </w:r>
      <w:r w:rsidR="009E31D7">
        <w:rPr>
          <w:rFonts w:ascii="Work Sans" w:hAnsi="Work Sans" w:cs="Work Sans"/>
          <w:color w:val="000000"/>
          <w:sz w:val="24"/>
          <w:szCs w:val="24"/>
        </w:rPr>
        <w:t xml:space="preserve"> </w:t>
      </w:r>
      <w:r w:rsidRPr="00FA39E8">
        <w:rPr>
          <w:rFonts w:ascii="Work Sans" w:hAnsi="Work Sans" w:cs="Work Sans"/>
          <w:color w:val="000000"/>
          <w:sz w:val="24"/>
          <w:szCs w:val="24"/>
        </w:rPr>
        <w:t xml:space="preserve">del </w:t>
      </w:r>
      <w:r w:rsidR="00FA39E8">
        <w:rPr>
          <w:rFonts w:ascii="Work Sans" w:hAnsi="Work Sans" w:cs="Work Sans"/>
          <w:color w:val="000000"/>
          <w:sz w:val="24"/>
          <w:szCs w:val="24"/>
        </w:rPr>
        <w:t>0</w:t>
      </w:r>
      <w:r w:rsidR="009E31D7">
        <w:rPr>
          <w:rFonts w:ascii="Work Sans" w:hAnsi="Work Sans" w:cs="Work Sans"/>
          <w:color w:val="000000"/>
          <w:sz w:val="24"/>
          <w:szCs w:val="24"/>
        </w:rPr>
        <w:t>8</w:t>
      </w:r>
      <w:r w:rsidRPr="00FA39E8">
        <w:rPr>
          <w:rFonts w:ascii="Work Sans" w:hAnsi="Work Sans" w:cs="Work Sans"/>
          <w:color w:val="000000"/>
          <w:sz w:val="24"/>
          <w:szCs w:val="24"/>
        </w:rPr>
        <w:t xml:space="preserve"> de </w:t>
      </w:r>
      <w:r w:rsidR="009E31D7">
        <w:rPr>
          <w:rFonts w:ascii="Work Sans" w:hAnsi="Work Sans" w:cs="Work Sans"/>
          <w:color w:val="000000"/>
          <w:sz w:val="24"/>
          <w:szCs w:val="24"/>
        </w:rPr>
        <w:t>abril</w:t>
      </w:r>
      <w:r w:rsidRPr="00FA39E8">
        <w:rPr>
          <w:rFonts w:ascii="Work Sans" w:hAnsi="Work Sans" w:cs="Work Sans"/>
          <w:color w:val="000000"/>
          <w:sz w:val="24"/>
          <w:szCs w:val="24"/>
        </w:rPr>
        <w:t xml:space="preserve"> de 202</w:t>
      </w:r>
      <w:r w:rsidR="00FA39E8">
        <w:rPr>
          <w:rFonts w:ascii="Work Sans" w:hAnsi="Work Sans" w:cs="Work Sans"/>
          <w:color w:val="000000"/>
          <w:sz w:val="24"/>
          <w:szCs w:val="24"/>
        </w:rPr>
        <w:t>6</w:t>
      </w:r>
      <w:r w:rsidRPr="00FA39E8">
        <w:rPr>
          <w:rFonts w:ascii="Work Sans" w:hAnsi="Work Sans" w:cs="Work Sans"/>
          <w:color w:val="000000"/>
          <w:sz w:val="24"/>
          <w:szCs w:val="24"/>
        </w:rPr>
        <w:t xml:space="preserve">, mediante la cual </w:t>
      </w:r>
      <w:r w:rsidR="00A32CE2">
        <w:rPr>
          <w:rFonts w:ascii="Work Sans" w:hAnsi="Work Sans" w:cs="Work Sans"/>
          <w:color w:val="000000"/>
          <w:sz w:val="24"/>
          <w:szCs w:val="24"/>
        </w:rPr>
        <w:t xml:space="preserve">el </w:t>
      </w:r>
      <w:r w:rsidR="009E31D7">
        <w:rPr>
          <w:rFonts w:ascii="Work Sans" w:hAnsi="Work Sans" w:cs="Work Sans"/>
          <w:color w:val="000000"/>
          <w:sz w:val="24"/>
          <w:szCs w:val="24"/>
        </w:rPr>
        <w:t xml:space="preserve">Director de Proyectos del Consorcio Férreo del Meta solicita información </w:t>
      </w:r>
      <w:r w:rsidR="00696EE4">
        <w:rPr>
          <w:rFonts w:ascii="Work Sans" w:hAnsi="Work Sans" w:cs="Work Sans"/>
          <w:color w:val="000000"/>
          <w:sz w:val="24"/>
          <w:szCs w:val="24"/>
        </w:rPr>
        <w:t xml:space="preserve">necesaria para la ejecución de una consultoría </w:t>
      </w:r>
      <w:r w:rsidR="00872A1A" w:rsidRPr="00872A1A">
        <w:rPr>
          <w:rFonts w:ascii="Work Sans" w:hAnsi="Work Sans" w:cs="Work Sans"/>
          <w:color w:val="000000"/>
          <w:sz w:val="24"/>
          <w:szCs w:val="24"/>
        </w:rPr>
        <w:t xml:space="preserve">para la </w:t>
      </w:r>
      <w:r w:rsidR="00872A1A">
        <w:rPr>
          <w:rFonts w:ascii="Work Sans" w:hAnsi="Work Sans" w:cs="Work Sans"/>
          <w:color w:val="000000"/>
          <w:sz w:val="24"/>
          <w:szCs w:val="24"/>
        </w:rPr>
        <w:t>e</w:t>
      </w:r>
      <w:r w:rsidR="00872A1A" w:rsidRPr="00872A1A">
        <w:rPr>
          <w:rFonts w:ascii="Work Sans" w:hAnsi="Work Sans" w:cs="Work Sans"/>
          <w:color w:val="000000"/>
          <w:sz w:val="24"/>
          <w:szCs w:val="24"/>
        </w:rPr>
        <w:t xml:space="preserve">structuración técnica, integral a nivel de </w:t>
      </w:r>
      <w:r w:rsidR="00872A1A">
        <w:rPr>
          <w:rFonts w:ascii="Work Sans" w:hAnsi="Work Sans" w:cs="Work Sans"/>
          <w:color w:val="000000"/>
          <w:sz w:val="24"/>
          <w:szCs w:val="24"/>
        </w:rPr>
        <w:t>f</w:t>
      </w:r>
      <w:r w:rsidR="00872A1A" w:rsidRPr="00872A1A">
        <w:rPr>
          <w:rFonts w:ascii="Work Sans" w:hAnsi="Work Sans" w:cs="Work Sans"/>
          <w:color w:val="000000"/>
          <w:sz w:val="24"/>
          <w:szCs w:val="24"/>
        </w:rPr>
        <w:t>actibilidad de la infraestructura ferroviaria para realizar la conexión férrea entre los municipios de Villavicencio y Puerto López - Lote 1</w:t>
      </w:r>
      <w:r w:rsidRPr="00FA39E8">
        <w:rPr>
          <w:rFonts w:ascii="Work Sans" w:hAnsi="Work Sans" w:cs="Work Sans"/>
          <w:color w:val="000000"/>
          <w:sz w:val="24"/>
          <w:szCs w:val="24"/>
        </w:rPr>
        <w:t xml:space="preserve">, </w:t>
      </w:r>
      <w:r w:rsidR="0068371F" w:rsidRPr="0068371F">
        <w:rPr>
          <w:rFonts w:ascii="Work Sans" w:hAnsi="Work Sans" w:cs="Work Sans"/>
          <w:color w:val="000000"/>
          <w:sz w:val="24"/>
          <w:szCs w:val="24"/>
        </w:rPr>
        <w:t>la Dirección de Hidrocarburos del Ministerio de Minas y Energía, en ejercicio de las atribuciones legales y reglamentarias asignadas, procede emitiendo respuesta integral y de fondo frente a l</w:t>
      </w:r>
      <w:r w:rsidR="0068371F">
        <w:rPr>
          <w:rFonts w:ascii="Work Sans" w:hAnsi="Work Sans" w:cs="Work Sans"/>
          <w:color w:val="000000"/>
          <w:sz w:val="24"/>
          <w:szCs w:val="24"/>
        </w:rPr>
        <w:t>os hechos y</w:t>
      </w:r>
      <w:r w:rsidR="0068371F" w:rsidRPr="0068371F">
        <w:rPr>
          <w:rFonts w:ascii="Work Sans" w:hAnsi="Work Sans" w:cs="Work Sans"/>
          <w:color w:val="000000"/>
          <w:sz w:val="24"/>
          <w:szCs w:val="24"/>
        </w:rPr>
        <w:t xml:space="preserve"> peticiones que se describen a continuación:</w:t>
      </w:r>
    </w:p>
    <w:p w14:paraId="17BBC7F9" w14:textId="19F35514" w:rsidR="00A32CE2" w:rsidRDefault="00A32CE2" w:rsidP="0021775D">
      <w:pPr>
        <w:spacing w:after="0" w:line="240" w:lineRule="auto"/>
        <w:ind w:right="51"/>
        <w:contextualSpacing/>
        <w:jc w:val="both"/>
        <w:rPr>
          <w:rFonts w:ascii="Work Sans" w:hAnsi="Work Sans" w:cs="Arial"/>
          <w:sz w:val="24"/>
          <w:szCs w:val="24"/>
        </w:rPr>
      </w:pPr>
    </w:p>
    <w:p w14:paraId="138B6B61" w14:textId="77777777" w:rsidR="00DA7BAF" w:rsidRPr="00DD68AA" w:rsidRDefault="00DA7BAF" w:rsidP="00DA7BAF">
      <w:pPr>
        <w:suppressAutoHyphens w:val="0"/>
        <w:spacing w:after="0" w:line="240" w:lineRule="auto"/>
        <w:ind w:right="141"/>
        <w:outlineLvl w:val="1"/>
        <w:rPr>
          <w:rFonts w:ascii="Work Sans" w:eastAsia="Times New Roman" w:hAnsi="Work Sans" w:cs="Arial"/>
          <w:b/>
          <w:bCs/>
          <w:i/>
          <w:iCs/>
          <w:sz w:val="24"/>
          <w:szCs w:val="24"/>
          <w:lang w:eastAsia="es-CO"/>
        </w:rPr>
      </w:pPr>
      <w:r w:rsidRPr="00DD68AA">
        <w:rPr>
          <w:rFonts w:ascii="Work Sans" w:eastAsia="Times New Roman" w:hAnsi="Work Sans" w:cs="Arial"/>
          <w:b/>
          <w:bCs/>
          <w:i/>
          <w:iCs/>
          <w:sz w:val="24"/>
          <w:szCs w:val="24"/>
          <w:lang w:eastAsia="es-CO"/>
        </w:rPr>
        <w:t>“I. HECHOS</w:t>
      </w:r>
    </w:p>
    <w:p w14:paraId="66A31FFC" w14:textId="77777777" w:rsidR="00DA7BAF" w:rsidRPr="00DD68AA" w:rsidRDefault="00DA7BAF" w:rsidP="00DA7BAF">
      <w:pPr>
        <w:suppressAutoHyphens w:val="0"/>
        <w:spacing w:after="0" w:line="240" w:lineRule="auto"/>
        <w:ind w:right="141"/>
        <w:outlineLvl w:val="1"/>
        <w:rPr>
          <w:rFonts w:ascii="Work Sans" w:eastAsia="Times New Roman" w:hAnsi="Work Sans" w:cs="Arial"/>
          <w:b/>
          <w:bCs/>
          <w:i/>
          <w:iCs/>
          <w:sz w:val="24"/>
          <w:szCs w:val="24"/>
          <w:lang w:eastAsia="es-CO"/>
        </w:rPr>
      </w:pPr>
    </w:p>
    <w:p w14:paraId="2591FE54" w14:textId="3FF09A8C" w:rsidR="00DA7BAF" w:rsidRPr="00872A1A" w:rsidRDefault="00872A1A" w:rsidP="0068371F">
      <w:pPr>
        <w:suppressAutoHyphens w:val="0"/>
        <w:spacing w:after="0" w:line="240" w:lineRule="auto"/>
        <w:ind w:left="142" w:right="141"/>
        <w:jc w:val="both"/>
        <w:rPr>
          <w:rFonts w:ascii="Work Sans" w:hAnsi="Work Sans" w:cs="Work Sans"/>
          <w:color w:val="000000"/>
          <w:sz w:val="24"/>
          <w:szCs w:val="24"/>
        </w:rPr>
      </w:pPr>
      <w:r w:rsidRPr="00872A1A">
        <w:rPr>
          <w:rFonts w:ascii="Work Sans" w:hAnsi="Work Sans" w:cs="Work Sans"/>
          <w:color w:val="000000"/>
          <w:sz w:val="24"/>
          <w:szCs w:val="24"/>
        </w:rPr>
        <w:t>El alcance del Contrato incluye la elaboración de los estudios y diseños técnicos como son aspectos ambientales y sociales, análisis de demanda, movilidad, predios, interferencias con redes, ingeniería ferroviaria, sistemas intermodales, operación y mantenimiento, CAPEX y OPEX, programación de obra, evaluación tarifaria, análisis territorial y aprovechamiento de infraestructura existente.</w:t>
      </w:r>
    </w:p>
    <w:p w14:paraId="6AF18A75" w14:textId="77777777" w:rsidR="00872A1A" w:rsidRPr="00DD68AA" w:rsidRDefault="00872A1A" w:rsidP="0068371F">
      <w:pPr>
        <w:suppressAutoHyphens w:val="0"/>
        <w:spacing w:after="0" w:line="240" w:lineRule="auto"/>
        <w:ind w:left="284" w:right="141" w:hanging="284"/>
        <w:jc w:val="both"/>
        <w:rPr>
          <w:rFonts w:ascii="Work Sans" w:eastAsia="Times New Roman" w:hAnsi="Work Sans" w:cs="Arial"/>
          <w:i/>
          <w:iCs/>
          <w:sz w:val="24"/>
          <w:szCs w:val="24"/>
          <w:lang w:eastAsia="es-CO"/>
        </w:rPr>
      </w:pPr>
    </w:p>
    <w:p w14:paraId="40962EE2" w14:textId="525A8974" w:rsidR="00DA7BAF" w:rsidRPr="00DD68AA" w:rsidRDefault="00872A1A" w:rsidP="0068371F">
      <w:pPr>
        <w:suppressAutoHyphens w:val="0"/>
        <w:spacing w:after="0" w:line="240" w:lineRule="auto"/>
        <w:ind w:left="284" w:hanging="284"/>
        <w:jc w:val="both"/>
        <w:outlineLvl w:val="1"/>
        <w:rPr>
          <w:rFonts w:ascii="Work Sans" w:eastAsia="Times New Roman" w:hAnsi="Work Sans" w:cs="Arial"/>
          <w:b/>
          <w:bCs/>
          <w:i/>
          <w:iCs/>
          <w:sz w:val="24"/>
          <w:szCs w:val="24"/>
          <w:lang w:eastAsia="es-CO"/>
        </w:rPr>
      </w:pPr>
      <w:r>
        <w:rPr>
          <w:rFonts w:ascii="Work Sans" w:eastAsia="Times New Roman" w:hAnsi="Work Sans" w:cs="Arial"/>
          <w:b/>
          <w:bCs/>
          <w:i/>
          <w:iCs/>
          <w:sz w:val="24"/>
          <w:szCs w:val="24"/>
          <w:lang w:eastAsia="es-CO"/>
        </w:rPr>
        <w:t xml:space="preserve"> </w:t>
      </w:r>
      <w:r w:rsidR="00DA7BAF" w:rsidRPr="00DD68AA">
        <w:rPr>
          <w:rFonts w:ascii="Work Sans" w:eastAsia="Times New Roman" w:hAnsi="Work Sans" w:cs="Arial"/>
          <w:b/>
          <w:bCs/>
          <w:i/>
          <w:iCs/>
          <w:sz w:val="24"/>
          <w:szCs w:val="24"/>
          <w:lang w:eastAsia="es-CO"/>
        </w:rPr>
        <w:t>II. OBJETO DE LA PETICIÓN</w:t>
      </w:r>
    </w:p>
    <w:p w14:paraId="5C915C68" w14:textId="77777777" w:rsidR="00DA7BAF" w:rsidRPr="00DD68AA" w:rsidRDefault="00DA7BAF" w:rsidP="0068371F">
      <w:pPr>
        <w:suppressAutoHyphens w:val="0"/>
        <w:spacing w:after="0" w:line="240" w:lineRule="auto"/>
        <w:jc w:val="both"/>
        <w:rPr>
          <w:rFonts w:ascii="Work Sans" w:eastAsia="Times New Roman" w:hAnsi="Work Sans" w:cs="Arial"/>
          <w:i/>
          <w:iCs/>
          <w:sz w:val="24"/>
          <w:szCs w:val="24"/>
          <w:lang w:eastAsia="es-CO"/>
        </w:rPr>
      </w:pPr>
    </w:p>
    <w:p w14:paraId="4F92E67C" w14:textId="52A09BAE" w:rsidR="00DA7BAF" w:rsidRDefault="00872A1A" w:rsidP="0068371F">
      <w:pPr>
        <w:suppressAutoHyphens w:val="0"/>
        <w:spacing w:after="0" w:line="240" w:lineRule="auto"/>
        <w:ind w:right="141"/>
        <w:jc w:val="both"/>
        <w:rPr>
          <w:rFonts w:ascii="Work Sans" w:eastAsia="Times New Roman" w:hAnsi="Work Sans" w:cs="Arial"/>
          <w:i/>
          <w:iCs/>
          <w:sz w:val="24"/>
          <w:szCs w:val="24"/>
          <w:lang w:eastAsia="es-CO"/>
        </w:rPr>
      </w:pPr>
      <w:r>
        <w:rPr>
          <w:rFonts w:ascii="Work Sans" w:eastAsia="Times New Roman" w:hAnsi="Work Sans" w:cs="Arial"/>
          <w:i/>
          <w:iCs/>
          <w:sz w:val="24"/>
          <w:szCs w:val="24"/>
          <w:lang w:eastAsia="es-CO"/>
        </w:rPr>
        <w:t>(…)</w:t>
      </w:r>
    </w:p>
    <w:p w14:paraId="76814E08" w14:textId="4FE58042" w:rsidR="00872A1A" w:rsidRDefault="00872A1A" w:rsidP="0068371F">
      <w:pPr>
        <w:suppressAutoHyphens w:val="0"/>
        <w:spacing w:after="0" w:line="240" w:lineRule="auto"/>
        <w:ind w:right="141"/>
        <w:jc w:val="both"/>
        <w:rPr>
          <w:rFonts w:ascii="Work Sans" w:eastAsia="Times New Roman" w:hAnsi="Work Sans" w:cs="Arial"/>
          <w:i/>
          <w:iCs/>
          <w:sz w:val="24"/>
          <w:szCs w:val="24"/>
          <w:lang w:eastAsia="es-CO"/>
        </w:rPr>
      </w:pPr>
    </w:p>
    <w:p w14:paraId="2FE33965" w14:textId="7D0A06BF" w:rsidR="00872A1A" w:rsidRPr="00872A1A" w:rsidRDefault="00872A1A" w:rsidP="008C50D5">
      <w:pPr>
        <w:suppressAutoHyphens w:val="0"/>
        <w:spacing w:after="0" w:line="240" w:lineRule="auto"/>
        <w:ind w:right="141"/>
        <w:jc w:val="both"/>
        <w:rPr>
          <w:rFonts w:ascii="Work Sans" w:eastAsia="Times New Roman" w:hAnsi="Work Sans" w:cs="Arial"/>
          <w:i/>
          <w:iCs/>
          <w:sz w:val="24"/>
          <w:szCs w:val="24"/>
          <w:lang w:eastAsia="es-CO"/>
        </w:rPr>
      </w:pPr>
      <w:r>
        <w:rPr>
          <w:rFonts w:ascii="Work Sans" w:eastAsia="Times New Roman" w:hAnsi="Work Sans" w:cs="Arial"/>
          <w:i/>
          <w:iCs/>
          <w:sz w:val="24"/>
          <w:szCs w:val="24"/>
          <w:lang w:eastAsia="es-CO"/>
        </w:rPr>
        <w:t>C</w:t>
      </w:r>
      <w:r w:rsidRPr="00872A1A">
        <w:rPr>
          <w:rFonts w:ascii="Work Sans" w:eastAsia="Times New Roman" w:hAnsi="Work Sans" w:cs="Arial"/>
          <w:i/>
          <w:iCs/>
          <w:sz w:val="24"/>
          <w:szCs w:val="24"/>
          <w:lang w:eastAsia="es-CO"/>
        </w:rPr>
        <w:t xml:space="preserve">omedidamente solicitamos nos proporcionen la información que se relaciona a continuación: </w:t>
      </w:r>
    </w:p>
    <w:p w14:paraId="2E7FBB60" w14:textId="77777777" w:rsidR="00872A1A" w:rsidRDefault="00872A1A" w:rsidP="0068371F">
      <w:pPr>
        <w:suppressAutoHyphens w:val="0"/>
        <w:spacing w:after="0" w:line="240" w:lineRule="auto"/>
        <w:ind w:right="141"/>
        <w:jc w:val="both"/>
        <w:rPr>
          <w:rFonts w:ascii="Work Sans" w:eastAsia="Times New Roman" w:hAnsi="Work Sans" w:cs="Arial"/>
          <w:i/>
          <w:iCs/>
          <w:sz w:val="24"/>
          <w:szCs w:val="24"/>
          <w:lang w:eastAsia="es-CO"/>
        </w:rPr>
      </w:pPr>
    </w:p>
    <w:p w14:paraId="3B1D9881" w14:textId="1983A794" w:rsidR="00872A1A" w:rsidRPr="00872A1A" w:rsidRDefault="00872A1A" w:rsidP="0068371F">
      <w:pPr>
        <w:pStyle w:val="Prrafodelista"/>
        <w:numPr>
          <w:ilvl w:val="0"/>
          <w:numId w:val="12"/>
        </w:numPr>
        <w:suppressAutoHyphens w:val="0"/>
        <w:spacing w:after="0" w:line="240" w:lineRule="auto"/>
        <w:ind w:left="0" w:right="141"/>
        <w:jc w:val="both"/>
        <w:rPr>
          <w:rFonts w:ascii="Work Sans" w:eastAsia="Times New Roman" w:hAnsi="Work Sans" w:cs="Arial"/>
          <w:i/>
          <w:iCs/>
          <w:sz w:val="24"/>
          <w:szCs w:val="24"/>
          <w:lang w:eastAsia="es-CO"/>
        </w:rPr>
      </w:pPr>
      <w:r w:rsidRPr="00872A1A">
        <w:rPr>
          <w:rFonts w:ascii="Work Sans" w:eastAsia="Times New Roman" w:hAnsi="Work Sans" w:cs="Arial"/>
          <w:i/>
          <w:iCs/>
          <w:sz w:val="24"/>
          <w:szCs w:val="24"/>
          <w:lang w:eastAsia="es-CO"/>
        </w:rPr>
        <w:t xml:space="preserve">Cartografía que indique los trazados de: </w:t>
      </w:r>
    </w:p>
    <w:p w14:paraId="2F5499CC" w14:textId="77777777" w:rsidR="00872A1A" w:rsidRPr="00872A1A" w:rsidRDefault="00872A1A" w:rsidP="0068371F">
      <w:pPr>
        <w:suppressAutoHyphens w:val="0"/>
        <w:spacing w:after="0" w:line="240" w:lineRule="auto"/>
        <w:ind w:right="141"/>
        <w:jc w:val="both"/>
        <w:rPr>
          <w:rFonts w:ascii="Work Sans" w:eastAsia="Times New Roman" w:hAnsi="Work Sans" w:cs="Arial"/>
          <w:i/>
          <w:iCs/>
          <w:sz w:val="24"/>
          <w:szCs w:val="24"/>
          <w:lang w:eastAsia="es-CO"/>
        </w:rPr>
      </w:pPr>
    </w:p>
    <w:p w14:paraId="31BEE755" w14:textId="77777777" w:rsidR="00872A1A" w:rsidRPr="009A3B36" w:rsidRDefault="00872A1A" w:rsidP="0068371F">
      <w:pPr>
        <w:pStyle w:val="Prrafodelista"/>
        <w:numPr>
          <w:ilvl w:val="0"/>
          <w:numId w:val="13"/>
        </w:numPr>
        <w:suppressAutoHyphens w:val="0"/>
        <w:spacing w:after="0" w:line="240" w:lineRule="auto"/>
        <w:ind w:left="284" w:right="141"/>
        <w:jc w:val="both"/>
        <w:rPr>
          <w:rFonts w:ascii="Work Sans" w:eastAsia="Times New Roman" w:hAnsi="Work Sans" w:cs="Arial"/>
          <w:i/>
          <w:iCs/>
          <w:sz w:val="24"/>
          <w:szCs w:val="24"/>
          <w:u w:val="single"/>
          <w:lang w:eastAsia="es-CO"/>
        </w:rPr>
      </w:pPr>
      <w:r w:rsidRPr="009A3B36">
        <w:rPr>
          <w:rFonts w:ascii="Work Sans" w:eastAsia="Times New Roman" w:hAnsi="Work Sans" w:cs="Arial"/>
          <w:i/>
          <w:iCs/>
          <w:sz w:val="24"/>
          <w:szCs w:val="24"/>
          <w:u w:val="single"/>
          <w:lang w:eastAsia="es-CO"/>
        </w:rPr>
        <w:t>OLEODUCTO ODL ubicado en los departamentos de Meta y Casanare, con el fin de analizar su posible cercanía al área de influencia del proyecto</w:t>
      </w:r>
    </w:p>
    <w:p w14:paraId="4AFEE3F3" w14:textId="7B1214AA" w:rsidR="00215ECF" w:rsidRDefault="00215ECF" w:rsidP="0068371F">
      <w:pPr>
        <w:suppressAutoHyphens w:val="0"/>
        <w:spacing w:after="0" w:line="240" w:lineRule="auto"/>
        <w:ind w:right="141"/>
        <w:jc w:val="both"/>
        <w:rPr>
          <w:rFonts w:ascii="Work Sans" w:eastAsia="Times New Roman" w:hAnsi="Work Sans" w:cs="Arial"/>
          <w:sz w:val="24"/>
          <w:szCs w:val="24"/>
          <w:lang w:eastAsia="es-CO"/>
        </w:rPr>
      </w:pPr>
    </w:p>
    <w:p w14:paraId="6C211F5F" w14:textId="77777777" w:rsidR="006E0A5E" w:rsidRDefault="006E0A5E" w:rsidP="006E0A5E">
      <w:pPr>
        <w:pStyle w:val="Prrafodelista"/>
        <w:numPr>
          <w:ilvl w:val="0"/>
          <w:numId w:val="13"/>
        </w:numPr>
        <w:suppressAutoHyphens w:val="0"/>
        <w:spacing w:after="0" w:line="240" w:lineRule="auto"/>
        <w:ind w:left="284" w:right="141"/>
        <w:jc w:val="both"/>
        <w:rPr>
          <w:rFonts w:ascii="Work Sans" w:eastAsia="Times New Roman" w:hAnsi="Work Sans" w:cs="Arial"/>
          <w:i/>
          <w:iCs/>
          <w:sz w:val="24"/>
          <w:szCs w:val="24"/>
          <w:u w:val="single"/>
          <w:lang w:eastAsia="es-CO"/>
        </w:rPr>
      </w:pPr>
      <w:r w:rsidRPr="009A3B36">
        <w:rPr>
          <w:rFonts w:ascii="Work Sans" w:eastAsia="Times New Roman" w:hAnsi="Work Sans" w:cs="Arial"/>
          <w:i/>
          <w:iCs/>
          <w:sz w:val="24"/>
          <w:szCs w:val="24"/>
          <w:u w:val="single"/>
          <w:lang w:eastAsia="es-CO"/>
        </w:rPr>
        <w:t xml:space="preserve">Gasoductos y Estaciones de producción de Gas Natural, con el fin de analizar su posible cercanía al área de influencia del proyecto. </w:t>
      </w:r>
    </w:p>
    <w:p w14:paraId="254B80B2" w14:textId="77777777" w:rsidR="006E0A5E" w:rsidRDefault="006E0A5E" w:rsidP="0068371F">
      <w:pPr>
        <w:suppressAutoHyphens w:val="0"/>
        <w:spacing w:after="0" w:line="240" w:lineRule="auto"/>
        <w:ind w:right="141"/>
        <w:jc w:val="both"/>
        <w:rPr>
          <w:rFonts w:ascii="Work Sans" w:eastAsia="Times New Roman" w:hAnsi="Work Sans" w:cs="Arial"/>
          <w:sz w:val="24"/>
          <w:szCs w:val="24"/>
          <w:lang w:eastAsia="es-CO"/>
        </w:rPr>
      </w:pPr>
    </w:p>
    <w:p w14:paraId="5B0C26C2" w14:textId="0AA4C35A" w:rsidR="006E0A5E" w:rsidRDefault="00D73776" w:rsidP="00B23CA3">
      <w:pPr>
        <w:suppressAutoHyphens w:val="0"/>
        <w:spacing w:after="0" w:line="240" w:lineRule="auto"/>
        <w:ind w:right="141"/>
        <w:jc w:val="both"/>
        <w:rPr>
          <w:rFonts w:ascii="Work Sans" w:eastAsia="Times New Roman" w:hAnsi="Work Sans" w:cs="Arial"/>
          <w:sz w:val="24"/>
          <w:szCs w:val="24"/>
          <w:lang w:eastAsia="es-CO"/>
        </w:rPr>
      </w:pPr>
      <w:r w:rsidRPr="006E0A5E">
        <w:rPr>
          <w:rFonts w:ascii="Work Sans" w:eastAsia="Times New Roman" w:hAnsi="Work Sans" w:cs="Arial"/>
          <w:sz w:val="24"/>
          <w:szCs w:val="24"/>
          <w:lang w:eastAsia="es-CO"/>
        </w:rPr>
        <w:t xml:space="preserve">Teniendo en cuenta el área de influencia del proyecto ferroviario (Villavicencio – Puerto López), se le informa que en determinados tramos del </w:t>
      </w:r>
      <w:r w:rsidR="00E16918" w:rsidRPr="006E0A5E">
        <w:rPr>
          <w:rFonts w:ascii="Work Sans" w:eastAsia="Times New Roman" w:hAnsi="Work Sans" w:cs="Arial"/>
          <w:sz w:val="24"/>
          <w:szCs w:val="24"/>
          <w:lang w:eastAsia="es-CO"/>
        </w:rPr>
        <w:t>ol</w:t>
      </w:r>
      <w:r w:rsidR="006E0A5E" w:rsidRPr="006E0A5E">
        <w:rPr>
          <w:rFonts w:ascii="Work Sans" w:eastAsia="Times New Roman" w:hAnsi="Work Sans" w:cs="Arial"/>
          <w:sz w:val="24"/>
          <w:szCs w:val="24"/>
          <w:lang w:eastAsia="es-CO"/>
        </w:rPr>
        <w:t>eoducto</w:t>
      </w:r>
      <w:r w:rsidRPr="006E0A5E">
        <w:rPr>
          <w:rFonts w:ascii="Work Sans" w:eastAsia="Times New Roman" w:hAnsi="Work Sans" w:cs="Arial"/>
          <w:sz w:val="24"/>
          <w:szCs w:val="24"/>
          <w:lang w:eastAsia="es-CO"/>
        </w:rPr>
        <w:t xml:space="preserve"> </w:t>
      </w:r>
      <w:r w:rsidR="006E0A5E" w:rsidRPr="006E0A5E">
        <w:rPr>
          <w:rFonts w:ascii="Work Sans" w:eastAsia="Times New Roman" w:hAnsi="Work Sans" w:cs="Arial"/>
          <w:sz w:val="24"/>
          <w:szCs w:val="24"/>
          <w:lang w:eastAsia="es-CO"/>
        </w:rPr>
        <w:t>operan de manera independiente CENIT - Transporte y Logística S.A.S, ECOPETROL y Oleoducto de los Llanos S.A</w:t>
      </w:r>
      <w:r w:rsidRPr="006E0A5E">
        <w:rPr>
          <w:rFonts w:ascii="Work Sans" w:eastAsia="Times New Roman" w:hAnsi="Work Sans" w:cs="Arial"/>
          <w:sz w:val="24"/>
          <w:szCs w:val="24"/>
          <w:lang w:eastAsia="es-CO"/>
        </w:rPr>
        <w:t>. En consecuencia, y de conformidad con lo dispuesto en el artículo 21 de la Ley 1755 de 2015, resulta necesario traslad</w:t>
      </w:r>
      <w:r w:rsidR="006E0A5E" w:rsidRPr="006E0A5E">
        <w:rPr>
          <w:rFonts w:ascii="Work Sans" w:eastAsia="Times New Roman" w:hAnsi="Work Sans" w:cs="Arial"/>
          <w:sz w:val="24"/>
          <w:szCs w:val="24"/>
          <w:lang w:eastAsia="es-CO"/>
        </w:rPr>
        <w:t xml:space="preserve">arles </w:t>
      </w:r>
      <w:r w:rsidRPr="006E0A5E">
        <w:rPr>
          <w:rFonts w:ascii="Work Sans" w:eastAsia="Times New Roman" w:hAnsi="Work Sans" w:cs="Arial"/>
          <w:sz w:val="24"/>
          <w:szCs w:val="24"/>
          <w:lang w:eastAsia="es-CO"/>
        </w:rPr>
        <w:t xml:space="preserve">la solicitud, en razón a que la información requerida corresponde a aspectos técnicos </w:t>
      </w:r>
      <w:r w:rsidR="006E0A5E" w:rsidRPr="006E0A5E">
        <w:rPr>
          <w:rFonts w:ascii="Work Sans" w:eastAsia="Times New Roman" w:hAnsi="Work Sans" w:cs="Arial"/>
          <w:sz w:val="24"/>
          <w:szCs w:val="24"/>
          <w:lang w:eastAsia="es-CO"/>
        </w:rPr>
        <w:t xml:space="preserve">del resorte de </w:t>
      </w:r>
      <w:r w:rsidRPr="006E0A5E">
        <w:rPr>
          <w:rFonts w:ascii="Work Sans" w:eastAsia="Times New Roman" w:hAnsi="Work Sans" w:cs="Arial"/>
          <w:sz w:val="24"/>
          <w:szCs w:val="24"/>
          <w:lang w:eastAsia="es-CO"/>
        </w:rPr>
        <w:t>cada uno de ellos.</w:t>
      </w:r>
      <w:r w:rsidR="00B23CA3">
        <w:rPr>
          <w:rFonts w:ascii="Work Sans" w:eastAsia="Times New Roman" w:hAnsi="Work Sans" w:cs="Arial"/>
          <w:sz w:val="24"/>
          <w:szCs w:val="24"/>
          <w:lang w:eastAsia="es-CO"/>
        </w:rPr>
        <w:t xml:space="preserve"> </w:t>
      </w:r>
      <w:r w:rsidR="006E0A5E">
        <w:rPr>
          <w:rFonts w:ascii="Work Sans" w:eastAsia="Times New Roman" w:hAnsi="Work Sans" w:cs="Arial"/>
          <w:sz w:val="24"/>
          <w:szCs w:val="24"/>
          <w:lang w:eastAsia="es-CO"/>
        </w:rPr>
        <w:t>De igual forma, pero frente al gasoducto</w:t>
      </w:r>
      <w:r w:rsidR="006E0A5E" w:rsidRPr="006E0A5E">
        <w:rPr>
          <w:rFonts w:ascii="Work Sans" w:eastAsia="Times New Roman" w:hAnsi="Work Sans" w:cs="Arial"/>
          <w:sz w:val="24"/>
          <w:szCs w:val="24"/>
          <w:lang w:eastAsia="es-CO"/>
        </w:rPr>
        <w:t xml:space="preserve">, se le informa que el operador es </w:t>
      </w:r>
      <w:r w:rsidR="006E0A5E">
        <w:rPr>
          <w:rFonts w:ascii="Work Sans" w:eastAsia="Times New Roman" w:hAnsi="Work Sans" w:cs="Arial"/>
          <w:sz w:val="24"/>
          <w:szCs w:val="24"/>
          <w:lang w:eastAsia="es-CO"/>
        </w:rPr>
        <w:t xml:space="preserve">la empresa </w:t>
      </w:r>
      <w:r w:rsidR="006E0A5E" w:rsidRPr="006E0A5E">
        <w:rPr>
          <w:rFonts w:ascii="Work Sans" w:eastAsia="Times New Roman" w:hAnsi="Work Sans" w:cs="Arial"/>
          <w:sz w:val="24"/>
          <w:szCs w:val="24"/>
          <w:lang w:eastAsia="es-CO"/>
        </w:rPr>
        <w:t>TGI S.A. E.S.P</w:t>
      </w:r>
      <w:r w:rsidR="006E0A5E">
        <w:rPr>
          <w:rFonts w:ascii="Work Sans" w:eastAsia="Times New Roman" w:hAnsi="Work Sans" w:cs="Arial"/>
          <w:sz w:val="24"/>
          <w:szCs w:val="24"/>
          <w:lang w:eastAsia="es-CO"/>
        </w:rPr>
        <w:t>.</w:t>
      </w:r>
      <w:r w:rsidR="006E0A5E" w:rsidRPr="006E0A5E">
        <w:rPr>
          <w:rFonts w:ascii="Work Sans" w:eastAsia="Times New Roman" w:hAnsi="Work Sans" w:cs="Arial"/>
          <w:sz w:val="24"/>
          <w:szCs w:val="24"/>
          <w:lang w:eastAsia="es-CO"/>
        </w:rPr>
        <w:t xml:space="preserve"> </w:t>
      </w:r>
    </w:p>
    <w:p w14:paraId="2B4E761D" w14:textId="77777777" w:rsidR="006E0A5E" w:rsidRPr="006E0A5E" w:rsidRDefault="006E0A5E" w:rsidP="00B23CA3">
      <w:pPr>
        <w:suppressAutoHyphens w:val="0"/>
        <w:spacing w:after="0" w:line="240" w:lineRule="auto"/>
        <w:ind w:right="141"/>
        <w:jc w:val="both"/>
        <w:rPr>
          <w:rFonts w:ascii="Work Sans" w:eastAsia="Times New Roman" w:hAnsi="Work Sans" w:cs="Arial"/>
          <w:sz w:val="24"/>
          <w:szCs w:val="24"/>
          <w:lang w:eastAsia="es-CO"/>
        </w:rPr>
      </w:pPr>
    </w:p>
    <w:p w14:paraId="107D5F46" w14:textId="51F08B6D" w:rsidR="00D73776" w:rsidRDefault="00D73776" w:rsidP="00B23CA3">
      <w:pPr>
        <w:suppressAutoHyphens w:val="0"/>
        <w:spacing w:after="0" w:line="240" w:lineRule="auto"/>
        <w:ind w:right="141"/>
        <w:jc w:val="both"/>
        <w:rPr>
          <w:rFonts w:ascii="Work Sans" w:eastAsia="Times New Roman" w:hAnsi="Work Sans" w:cs="Arial"/>
          <w:sz w:val="24"/>
          <w:szCs w:val="24"/>
          <w:lang w:eastAsia="es-CO"/>
        </w:rPr>
      </w:pPr>
      <w:r w:rsidRPr="006E0A5E">
        <w:rPr>
          <w:rFonts w:ascii="Work Sans" w:eastAsia="Times New Roman" w:hAnsi="Work Sans" w:cs="Arial"/>
          <w:sz w:val="24"/>
          <w:szCs w:val="24"/>
          <w:lang w:eastAsia="es-CO"/>
        </w:rPr>
        <w:t xml:space="preserve">En ese sentido, esta Dirección </w:t>
      </w:r>
      <w:r w:rsidR="000528F7">
        <w:rPr>
          <w:rFonts w:ascii="Work Sans" w:eastAsia="Times New Roman" w:hAnsi="Work Sans" w:cs="Arial"/>
          <w:sz w:val="24"/>
          <w:szCs w:val="24"/>
          <w:lang w:eastAsia="es-CO"/>
        </w:rPr>
        <w:t xml:space="preserve">copiara de esta respuesta </w:t>
      </w:r>
      <w:r w:rsidRPr="006E0A5E">
        <w:rPr>
          <w:rFonts w:ascii="Work Sans" w:eastAsia="Times New Roman" w:hAnsi="Work Sans" w:cs="Arial"/>
          <w:sz w:val="24"/>
          <w:szCs w:val="24"/>
          <w:lang w:eastAsia="es-CO"/>
        </w:rPr>
        <w:t xml:space="preserve">a </w:t>
      </w:r>
      <w:r w:rsidR="006E0A5E" w:rsidRPr="006E0A5E">
        <w:rPr>
          <w:rFonts w:ascii="Work Sans" w:eastAsia="Times New Roman" w:hAnsi="Work Sans" w:cs="Arial"/>
          <w:sz w:val="24"/>
          <w:szCs w:val="24"/>
          <w:lang w:eastAsia="es-CO"/>
        </w:rPr>
        <w:t xml:space="preserve">los </w:t>
      </w:r>
      <w:r w:rsidR="006E0A5E">
        <w:rPr>
          <w:rFonts w:ascii="Work Sans" w:eastAsia="Times New Roman" w:hAnsi="Work Sans" w:cs="Arial"/>
          <w:sz w:val="24"/>
          <w:szCs w:val="24"/>
          <w:lang w:eastAsia="es-CO"/>
        </w:rPr>
        <w:t>4</w:t>
      </w:r>
      <w:r w:rsidR="006E0A5E" w:rsidRPr="006E0A5E">
        <w:rPr>
          <w:rFonts w:ascii="Work Sans" w:eastAsia="Times New Roman" w:hAnsi="Work Sans" w:cs="Arial"/>
          <w:sz w:val="24"/>
          <w:szCs w:val="24"/>
          <w:lang w:eastAsia="es-CO"/>
        </w:rPr>
        <w:t xml:space="preserve"> operadores </w:t>
      </w:r>
      <w:r w:rsidR="000528F7">
        <w:rPr>
          <w:rFonts w:ascii="Work Sans" w:eastAsia="Times New Roman" w:hAnsi="Work Sans" w:cs="Arial"/>
          <w:sz w:val="24"/>
          <w:szCs w:val="24"/>
          <w:lang w:eastAsia="es-CO"/>
        </w:rPr>
        <w:t xml:space="preserve">indicados </w:t>
      </w:r>
      <w:r w:rsidR="00B37B57">
        <w:rPr>
          <w:rFonts w:ascii="Work Sans" w:eastAsia="Times New Roman" w:hAnsi="Work Sans" w:cs="Arial"/>
          <w:sz w:val="24"/>
          <w:szCs w:val="24"/>
          <w:lang w:eastAsia="es-CO"/>
        </w:rPr>
        <w:t xml:space="preserve">para que cada uno emita </w:t>
      </w:r>
      <w:r w:rsidR="00070327">
        <w:rPr>
          <w:rFonts w:ascii="Work Sans" w:eastAsia="Times New Roman" w:hAnsi="Work Sans" w:cs="Arial"/>
          <w:sz w:val="24"/>
          <w:szCs w:val="24"/>
          <w:lang w:eastAsia="es-CO"/>
        </w:rPr>
        <w:t xml:space="preserve">los planos y cartografía que le corresponda y posteriormente remita esa informa  al Consorcio Ferrreo del Meta </w:t>
      </w:r>
      <w:r w:rsidRPr="006E0A5E">
        <w:rPr>
          <w:rFonts w:ascii="Work Sans" w:eastAsia="Times New Roman" w:hAnsi="Work Sans" w:cs="Arial"/>
          <w:sz w:val="24"/>
          <w:szCs w:val="24"/>
          <w:lang w:eastAsia="es-CO"/>
        </w:rPr>
        <w:t>con copia a la Dirección de Hidrocarburos del Ministerio de Minas y Energía.</w:t>
      </w:r>
    </w:p>
    <w:p w14:paraId="4BB0C578" w14:textId="77777777" w:rsidR="00872A1A" w:rsidRDefault="00872A1A" w:rsidP="00B23CA3">
      <w:pPr>
        <w:suppressAutoHyphens w:val="0"/>
        <w:spacing w:after="0" w:line="240" w:lineRule="auto"/>
        <w:ind w:right="141"/>
        <w:jc w:val="both"/>
        <w:rPr>
          <w:rFonts w:ascii="Work Sans" w:eastAsia="Times New Roman" w:hAnsi="Work Sans" w:cs="Arial"/>
          <w:i/>
          <w:iCs/>
          <w:sz w:val="24"/>
          <w:szCs w:val="24"/>
          <w:u w:val="single"/>
          <w:lang w:eastAsia="es-CO"/>
        </w:rPr>
      </w:pPr>
    </w:p>
    <w:p w14:paraId="2E656818" w14:textId="43F3BE00" w:rsidR="00E05A69" w:rsidRDefault="00B23CA3" w:rsidP="006740F5">
      <w:pPr>
        <w:suppressAutoHyphens w:val="0"/>
        <w:spacing w:after="0" w:line="240" w:lineRule="auto"/>
        <w:ind w:right="141"/>
        <w:jc w:val="both"/>
        <w:rPr>
          <w:rFonts w:ascii="Work Sans" w:eastAsia="Times New Roman" w:hAnsi="Work Sans" w:cs="Arial"/>
          <w:i/>
          <w:iCs/>
          <w:sz w:val="24"/>
          <w:szCs w:val="24"/>
          <w:u w:val="single"/>
          <w:lang w:eastAsia="es-CO"/>
        </w:rPr>
      </w:pPr>
      <w:r>
        <w:rPr>
          <w:rFonts w:ascii="Work Sans" w:eastAsia="Times New Roman" w:hAnsi="Work Sans" w:cs="Arial"/>
          <w:sz w:val="24"/>
          <w:szCs w:val="24"/>
          <w:lang w:eastAsia="es-CO"/>
        </w:rPr>
        <w:t>No obstante lo anterior, y c</w:t>
      </w:r>
      <w:r w:rsidR="00E05A69">
        <w:rPr>
          <w:rFonts w:ascii="Work Sans" w:eastAsia="Times New Roman" w:hAnsi="Work Sans" w:cs="Arial"/>
          <w:sz w:val="24"/>
          <w:szCs w:val="24"/>
          <w:lang w:eastAsia="es-CO"/>
        </w:rPr>
        <w:t>on el fin de</w:t>
      </w:r>
      <w:r>
        <w:rPr>
          <w:rFonts w:ascii="Work Sans" w:eastAsia="Times New Roman" w:hAnsi="Work Sans" w:cs="Arial"/>
          <w:sz w:val="24"/>
          <w:szCs w:val="24"/>
          <w:lang w:eastAsia="es-CO"/>
        </w:rPr>
        <w:t xml:space="preserve"> que cuenten con información de referencia, se le indica que puede consultar </w:t>
      </w:r>
      <w:r w:rsidR="00E05A69">
        <w:rPr>
          <w:rFonts w:ascii="Work Sans" w:eastAsia="Times New Roman" w:hAnsi="Work Sans" w:cs="Arial"/>
          <w:sz w:val="24"/>
          <w:szCs w:val="24"/>
          <w:lang w:eastAsia="es-CO"/>
        </w:rPr>
        <w:t xml:space="preserve">la cartografía del trazado de gasoductos cercano </w:t>
      </w:r>
      <w:r w:rsidR="00E05A69" w:rsidRPr="00E05A69">
        <w:rPr>
          <w:rFonts w:ascii="Work Sans" w:eastAsia="Times New Roman" w:hAnsi="Work Sans" w:cs="Arial"/>
          <w:sz w:val="24"/>
          <w:szCs w:val="24"/>
          <w:lang w:eastAsia="es-CO"/>
        </w:rPr>
        <w:t>al área de influencia del proyecto</w:t>
      </w:r>
      <w:r w:rsidR="00E05A69">
        <w:rPr>
          <w:rFonts w:ascii="Work Sans" w:eastAsia="Times New Roman" w:hAnsi="Work Sans" w:cs="Arial"/>
          <w:sz w:val="24"/>
          <w:szCs w:val="24"/>
          <w:lang w:eastAsia="es-CO"/>
        </w:rPr>
        <w:t xml:space="preserve">, </w:t>
      </w:r>
      <w:r>
        <w:rPr>
          <w:rFonts w:ascii="Work Sans" w:eastAsia="Times New Roman" w:hAnsi="Work Sans" w:cs="Arial"/>
          <w:sz w:val="24"/>
          <w:szCs w:val="24"/>
          <w:lang w:eastAsia="es-CO"/>
        </w:rPr>
        <w:t xml:space="preserve">operado por </w:t>
      </w:r>
      <w:r w:rsidRPr="00E05A69">
        <w:rPr>
          <w:rFonts w:ascii="Work Sans" w:eastAsia="Times New Roman" w:hAnsi="Work Sans" w:cs="Arial"/>
          <w:sz w:val="24"/>
          <w:szCs w:val="24"/>
          <w:lang w:eastAsia="es-CO"/>
        </w:rPr>
        <w:t>TGI S.A. E.S.P</w:t>
      </w:r>
      <w:r>
        <w:rPr>
          <w:rFonts w:ascii="Work Sans" w:eastAsia="Times New Roman" w:hAnsi="Work Sans" w:cs="Arial"/>
          <w:sz w:val="24"/>
          <w:szCs w:val="24"/>
          <w:lang w:eastAsia="es-CO"/>
        </w:rPr>
        <w:t xml:space="preserve">, a través del siguiente enlace:  </w:t>
      </w:r>
      <w:hyperlink r:id="rId7" w:history="1">
        <w:r w:rsidR="00E05A69" w:rsidRPr="00FE711F">
          <w:rPr>
            <w:rStyle w:val="Hipervnculo"/>
            <w:rFonts w:ascii="Work Sans" w:eastAsia="Times New Roman" w:hAnsi="Work Sans" w:cs="Arial"/>
            <w:color w:val="000000" w:themeColor="text1"/>
            <w:sz w:val="24"/>
            <w:szCs w:val="24"/>
            <w:lang w:eastAsia="es-CO"/>
          </w:rPr>
          <w:t>https://beo.tgi.com.co/manual-del-transportador/procedimientos-operacionales/mapa-del-sistema-de-transporte/</w:t>
        </w:r>
      </w:hyperlink>
    </w:p>
    <w:p w14:paraId="578F1CC3" w14:textId="77777777" w:rsidR="00E05A69" w:rsidRDefault="00E05A69" w:rsidP="006740F5">
      <w:pPr>
        <w:suppressAutoHyphens w:val="0"/>
        <w:spacing w:after="0" w:line="240" w:lineRule="auto"/>
        <w:ind w:right="141"/>
        <w:jc w:val="both"/>
        <w:rPr>
          <w:rFonts w:ascii="Work Sans" w:eastAsia="Times New Roman" w:hAnsi="Work Sans" w:cs="Arial"/>
          <w:sz w:val="24"/>
          <w:szCs w:val="24"/>
          <w:u w:val="single"/>
          <w:lang w:eastAsia="es-CO"/>
        </w:rPr>
      </w:pPr>
    </w:p>
    <w:p w14:paraId="2649913A" w14:textId="3C142DD5" w:rsidR="006740F5" w:rsidRPr="006740F5" w:rsidRDefault="006740F5" w:rsidP="006740F5">
      <w:pPr>
        <w:suppressAutoHyphens w:val="0"/>
        <w:spacing w:after="0" w:line="240" w:lineRule="auto"/>
        <w:ind w:right="141"/>
        <w:jc w:val="both"/>
        <w:rPr>
          <w:rFonts w:ascii="Work Sans" w:eastAsia="Times New Roman" w:hAnsi="Work Sans" w:cs="Arial"/>
          <w:sz w:val="24"/>
          <w:szCs w:val="24"/>
          <w:lang w:eastAsia="es-CO"/>
        </w:rPr>
      </w:pPr>
      <w:r w:rsidRPr="006740F5">
        <w:rPr>
          <w:rFonts w:ascii="Work Sans" w:eastAsia="Times New Roman" w:hAnsi="Work Sans" w:cs="Arial"/>
          <w:i/>
          <w:iCs/>
          <w:sz w:val="24"/>
          <w:szCs w:val="24"/>
          <w:lang w:eastAsia="es-CO"/>
        </w:rPr>
        <w:t>Con el mismo propósito se adjunta a esta respuesta el mapa denominado GASODUCTOS Y CAMPOS DE GAS NATURAL EN COLOMBIA</w:t>
      </w:r>
      <w:r>
        <w:rPr>
          <w:rFonts w:ascii="Work Sans" w:eastAsia="Times New Roman" w:hAnsi="Work Sans" w:cs="Arial"/>
          <w:i/>
          <w:iCs/>
          <w:sz w:val="24"/>
          <w:szCs w:val="24"/>
          <w:lang w:eastAsia="es-CO"/>
        </w:rPr>
        <w:t xml:space="preserve">, </w:t>
      </w:r>
      <w:r>
        <w:rPr>
          <w:rFonts w:ascii="Work Sans" w:eastAsia="Times New Roman" w:hAnsi="Work Sans" w:cs="Arial"/>
          <w:sz w:val="24"/>
          <w:szCs w:val="24"/>
          <w:lang w:eastAsia="es-CO"/>
        </w:rPr>
        <w:t>generado por ECOPETROL, en el cual podrá visualizar las líneas de los gasoductos en el área de influencia, así como la ubicación de campos de gas.</w:t>
      </w:r>
    </w:p>
    <w:p w14:paraId="31D06885" w14:textId="77777777" w:rsidR="006740F5" w:rsidRDefault="006740F5" w:rsidP="00FE711F">
      <w:pPr>
        <w:suppressAutoHyphens w:val="0"/>
        <w:spacing w:after="0" w:line="240" w:lineRule="auto"/>
        <w:ind w:right="141"/>
        <w:rPr>
          <w:rFonts w:ascii="Work Sans" w:eastAsia="Times New Roman" w:hAnsi="Work Sans" w:cs="Arial"/>
          <w:sz w:val="24"/>
          <w:szCs w:val="24"/>
          <w:u w:val="single"/>
          <w:lang w:eastAsia="es-CO"/>
        </w:rPr>
      </w:pPr>
    </w:p>
    <w:p w14:paraId="7E211620" w14:textId="77777777" w:rsidR="006740F5" w:rsidRDefault="006740F5" w:rsidP="00FE711F">
      <w:pPr>
        <w:suppressAutoHyphens w:val="0"/>
        <w:spacing w:after="0" w:line="240" w:lineRule="auto"/>
        <w:ind w:right="141"/>
        <w:rPr>
          <w:rFonts w:ascii="Work Sans" w:eastAsia="Times New Roman" w:hAnsi="Work Sans" w:cs="Arial"/>
          <w:sz w:val="24"/>
          <w:szCs w:val="24"/>
          <w:u w:val="single"/>
          <w:lang w:eastAsia="es-CO"/>
        </w:rPr>
      </w:pPr>
    </w:p>
    <w:p w14:paraId="73AD1F61" w14:textId="77777777" w:rsidR="006740F5" w:rsidRPr="00FE711F" w:rsidRDefault="006740F5" w:rsidP="00FE711F">
      <w:pPr>
        <w:suppressAutoHyphens w:val="0"/>
        <w:spacing w:after="0" w:line="240" w:lineRule="auto"/>
        <w:ind w:right="141"/>
        <w:rPr>
          <w:rFonts w:ascii="Work Sans" w:eastAsia="Times New Roman" w:hAnsi="Work Sans" w:cs="Arial"/>
          <w:sz w:val="24"/>
          <w:szCs w:val="24"/>
          <w:u w:val="single"/>
          <w:lang w:eastAsia="es-CO"/>
        </w:rPr>
      </w:pPr>
    </w:p>
    <w:p w14:paraId="17E3A7A6" w14:textId="4EC7959F" w:rsidR="000A1520" w:rsidRPr="00A15A45" w:rsidRDefault="00A15A45" w:rsidP="00A15A45">
      <w:pPr>
        <w:suppressAutoHyphens w:val="0"/>
        <w:spacing w:after="0" w:line="240" w:lineRule="auto"/>
        <w:ind w:right="141"/>
        <w:rPr>
          <w:rFonts w:ascii="Work Sans" w:eastAsia="Times New Roman" w:hAnsi="Work Sans" w:cs="Arial"/>
          <w:sz w:val="24"/>
          <w:szCs w:val="24"/>
          <w:u w:val="single"/>
          <w:lang w:eastAsia="es-CO"/>
        </w:rPr>
      </w:pPr>
      <w:r w:rsidRPr="00A15A45">
        <w:rPr>
          <w:rFonts w:ascii="Work Sans" w:eastAsia="Times New Roman" w:hAnsi="Work Sans" w:cs="Arial"/>
          <w:sz w:val="24"/>
          <w:szCs w:val="24"/>
          <w:u w:val="single"/>
          <w:lang w:eastAsia="es-CO"/>
        </w:rPr>
        <w:t>• Franjas de protección normativa requeridas</w:t>
      </w:r>
    </w:p>
    <w:p w14:paraId="59C3CFCC" w14:textId="77777777" w:rsidR="00A15A45" w:rsidRDefault="00A15A45" w:rsidP="00A15A45">
      <w:pPr>
        <w:suppressAutoHyphens w:val="0"/>
        <w:spacing w:after="0" w:line="240" w:lineRule="auto"/>
        <w:ind w:right="141"/>
        <w:rPr>
          <w:rFonts w:ascii="Work Sans" w:eastAsia="Times New Roman" w:hAnsi="Work Sans" w:cs="Arial"/>
          <w:i/>
          <w:iCs/>
          <w:sz w:val="24"/>
          <w:szCs w:val="24"/>
          <w:lang w:eastAsia="es-CO"/>
        </w:rPr>
      </w:pPr>
    </w:p>
    <w:p w14:paraId="27A2743B" w14:textId="2A38776D" w:rsidR="000A1520" w:rsidRPr="004846B7" w:rsidRDefault="006740F5" w:rsidP="004846B7">
      <w:pPr>
        <w:suppressAutoHyphens w:val="0"/>
        <w:spacing w:after="0" w:line="240" w:lineRule="auto"/>
        <w:ind w:right="141"/>
        <w:jc w:val="both"/>
        <w:rPr>
          <w:rFonts w:ascii="Work Sans" w:eastAsia="Times New Roman" w:hAnsi="Work Sans" w:cs="Arial"/>
          <w:sz w:val="24"/>
          <w:szCs w:val="24"/>
          <w:lang w:eastAsia="es-CO"/>
        </w:rPr>
      </w:pPr>
      <w:r>
        <w:rPr>
          <w:rFonts w:ascii="Work Sans" w:eastAsia="Times New Roman" w:hAnsi="Work Sans" w:cs="Arial"/>
          <w:sz w:val="24"/>
          <w:szCs w:val="24"/>
          <w:lang w:eastAsia="es-CO"/>
        </w:rPr>
        <w:t xml:space="preserve">Para responder de fondo su inquietud, se precisa que la </w:t>
      </w:r>
      <w:r w:rsidRPr="004846B7">
        <w:rPr>
          <w:rFonts w:ascii="Work Sans" w:eastAsia="Times New Roman" w:hAnsi="Work Sans" w:cs="Arial"/>
          <w:sz w:val="24"/>
          <w:szCs w:val="24"/>
          <w:lang w:eastAsia="es-CO"/>
        </w:rPr>
        <w:t xml:space="preserve">norma técnica colombiana </w:t>
      </w:r>
      <w:r w:rsidR="004846B7" w:rsidRPr="004846B7">
        <w:rPr>
          <w:rFonts w:ascii="Work Sans" w:eastAsia="Times New Roman" w:hAnsi="Work Sans" w:cs="Arial"/>
          <w:sz w:val="24"/>
          <w:szCs w:val="24"/>
          <w:lang w:eastAsia="es-CO"/>
        </w:rPr>
        <w:t>NTC 6199 de 2016, en materia de aislamientos o franjas de protección o servidumbre para combustibles líquidos del petróleo</w:t>
      </w:r>
      <w:r>
        <w:rPr>
          <w:rFonts w:ascii="Work Sans" w:eastAsia="Times New Roman" w:hAnsi="Work Sans" w:cs="Arial"/>
          <w:sz w:val="24"/>
          <w:szCs w:val="24"/>
          <w:lang w:eastAsia="es-CO"/>
        </w:rPr>
        <w:t xml:space="preserve">, </w:t>
      </w:r>
      <w:r w:rsidR="004846B7" w:rsidRPr="004846B7">
        <w:rPr>
          <w:rFonts w:ascii="Work Sans" w:eastAsia="Times New Roman" w:hAnsi="Work Sans" w:cs="Arial"/>
          <w:sz w:val="24"/>
          <w:szCs w:val="24"/>
          <w:lang w:eastAsia="es-CO"/>
        </w:rPr>
        <w:t>dispone lo siguiente:</w:t>
      </w:r>
    </w:p>
    <w:p w14:paraId="383FABE9" w14:textId="7DB2DA30" w:rsidR="004846B7" w:rsidRDefault="004846B7" w:rsidP="000A1520">
      <w:pPr>
        <w:suppressAutoHyphens w:val="0"/>
        <w:spacing w:after="0" w:line="240" w:lineRule="auto"/>
        <w:ind w:right="141"/>
        <w:rPr>
          <w:rFonts w:ascii="Work Sans" w:eastAsia="Times New Roman" w:hAnsi="Work Sans" w:cs="Arial"/>
          <w:i/>
          <w:iCs/>
          <w:sz w:val="24"/>
          <w:szCs w:val="24"/>
          <w:lang w:eastAsia="es-CO"/>
        </w:rPr>
      </w:pPr>
    </w:p>
    <w:p w14:paraId="51696DC1" w14:textId="62D5EC6F" w:rsidR="004846B7" w:rsidRDefault="004846B7" w:rsidP="004846B7">
      <w:pPr>
        <w:suppressAutoHyphens w:val="0"/>
        <w:spacing w:after="0" w:line="240" w:lineRule="auto"/>
        <w:ind w:right="141"/>
        <w:jc w:val="center"/>
        <w:rPr>
          <w:rFonts w:ascii="Work Sans" w:eastAsia="Times New Roman" w:hAnsi="Work Sans" w:cs="Arial"/>
          <w:i/>
          <w:iCs/>
          <w:sz w:val="24"/>
          <w:szCs w:val="24"/>
          <w:lang w:eastAsia="es-CO"/>
        </w:rPr>
      </w:pPr>
      <w:r>
        <w:rPr>
          <w:noProof/>
        </w:rPr>
        <w:drawing>
          <wp:inline distT="0" distB="0" distL="0" distR="0" wp14:anchorId="43DC4BF2" wp14:editId="755A52C9">
            <wp:extent cx="5143500" cy="1670685"/>
            <wp:effectExtent l="0" t="0" r="0" b="5715"/>
            <wp:docPr id="6" name="Imagen 6"/>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1670685"/>
                    </a:xfrm>
                    <a:prstGeom prst="rect">
                      <a:avLst/>
                    </a:prstGeom>
                    <a:noFill/>
                    <a:ln>
                      <a:noFill/>
                    </a:ln>
                  </pic:spPr>
                </pic:pic>
              </a:graphicData>
            </a:graphic>
          </wp:inline>
        </w:drawing>
      </w:r>
    </w:p>
    <w:p w14:paraId="3224FF8F" w14:textId="77777777" w:rsidR="00A277CB" w:rsidRDefault="004846B7" w:rsidP="000A1520">
      <w:pPr>
        <w:suppressAutoHyphens w:val="0"/>
        <w:spacing w:after="0" w:line="240" w:lineRule="auto"/>
        <w:ind w:right="141"/>
        <w:rPr>
          <w:rFonts w:ascii="Work Sans" w:hAnsi="Work Sans" w:cs="Arial"/>
          <w:sz w:val="16"/>
        </w:rPr>
      </w:pPr>
      <w:r>
        <w:rPr>
          <w:rFonts w:ascii="Work Sans" w:hAnsi="Work Sans" w:cs="Arial"/>
          <w:sz w:val="16"/>
        </w:rPr>
        <w:t xml:space="preserve">           </w:t>
      </w:r>
    </w:p>
    <w:p w14:paraId="42A7739F" w14:textId="007C0DAB" w:rsidR="004846B7" w:rsidRPr="00A277CB" w:rsidRDefault="004846B7" w:rsidP="00A277CB">
      <w:pPr>
        <w:suppressAutoHyphens w:val="0"/>
        <w:spacing w:after="0" w:line="240" w:lineRule="auto"/>
        <w:ind w:right="141"/>
        <w:jc w:val="both"/>
        <w:rPr>
          <w:rFonts w:ascii="Work Sans" w:eastAsia="Times New Roman" w:hAnsi="Work Sans" w:cs="Arial"/>
          <w:sz w:val="20"/>
          <w:szCs w:val="20"/>
          <w:lang w:eastAsia="es-CO"/>
        </w:rPr>
      </w:pPr>
      <w:r w:rsidRPr="00A277CB">
        <w:rPr>
          <w:rFonts w:ascii="Work Sans" w:eastAsia="Times New Roman" w:hAnsi="Work Sans" w:cs="Arial"/>
          <w:sz w:val="20"/>
          <w:szCs w:val="20"/>
          <w:lang w:eastAsia="es-CO"/>
        </w:rPr>
        <w:t>Fuente: NTC 6199, página 11.</w:t>
      </w:r>
    </w:p>
    <w:p w14:paraId="2A5FD6CF" w14:textId="39C09AF1" w:rsidR="004846B7" w:rsidRDefault="004846B7" w:rsidP="000A1520">
      <w:pPr>
        <w:suppressAutoHyphens w:val="0"/>
        <w:spacing w:after="0" w:line="240" w:lineRule="auto"/>
        <w:ind w:right="141"/>
        <w:rPr>
          <w:rFonts w:ascii="Work Sans" w:eastAsia="Times New Roman" w:hAnsi="Work Sans" w:cs="Arial"/>
          <w:i/>
          <w:iCs/>
          <w:sz w:val="24"/>
          <w:szCs w:val="24"/>
          <w:lang w:eastAsia="es-CO"/>
        </w:rPr>
      </w:pPr>
    </w:p>
    <w:p w14:paraId="740A07CD" w14:textId="77777777" w:rsidR="00A277CB" w:rsidRPr="00A277CB" w:rsidRDefault="00A277CB" w:rsidP="00A277CB">
      <w:pPr>
        <w:suppressAutoHyphens w:val="0"/>
        <w:spacing w:after="0" w:line="240" w:lineRule="auto"/>
        <w:ind w:right="141"/>
        <w:jc w:val="both"/>
        <w:rPr>
          <w:rFonts w:ascii="Work Sans" w:hAnsi="Work Sans" w:cs="Arial"/>
          <w:sz w:val="24"/>
        </w:rPr>
      </w:pPr>
      <w:r w:rsidRPr="00A277CB">
        <w:rPr>
          <w:rFonts w:ascii="Work Sans" w:hAnsi="Work Sans" w:cs="Arial"/>
          <w:sz w:val="24"/>
        </w:rPr>
        <w:t>Adicionalmente, resulta necesario considerar las disposiciones contenidas en los respectivos Planes de Ordenamiento Territorial – POT municipales, expedidos en el marco de la Ley 388 de 1997 y demás normas concordantes sobre ordenamiento territorial y gestión del riesgo, en la medida en que dichos instrumentos incorporan determinantes relacionadas con la protección de las personas, el ambiente y la infraestructura estratégica.</w:t>
      </w:r>
    </w:p>
    <w:p w14:paraId="3FDA2A0D" w14:textId="77777777" w:rsidR="00A277CB" w:rsidRPr="00A277CB" w:rsidRDefault="00A277CB" w:rsidP="00A277CB">
      <w:pPr>
        <w:suppressAutoHyphens w:val="0"/>
        <w:spacing w:after="0" w:line="240" w:lineRule="auto"/>
        <w:ind w:right="141"/>
        <w:jc w:val="both"/>
        <w:rPr>
          <w:rFonts w:ascii="Work Sans" w:hAnsi="Work Sans" w:cs="Arial"/>
          <w:sz w:val="24"/>
        </w:rPr>
      </w:pPr>
    </w:p>
    <w:p w14:paraId="2F8C01D3" w14:textId="77777777" w:rsidR="00A277CB" w:rsidRPr="00A277CB" w:rsidRDefault="00A277CB" w:rsidP="00A277CB">
      <w:pPr>
        <w:suppressAutoHyphens w:val="0"/>
        <w:spacing w:after="0" w:line="240" w:lineRule="auto"/>
        <w:ind w:right="141"/>
        <w:jc w:val="both"/>
        <w:rPr>
          <w:rFonts w:ascii="Work Sans" w:hAnsi="Work Sans" w:cs="Arial"/>
          <w:sz w:val="24"/>
        </w:rPr>
      </w:pPr>
      <w:r w:rsidRPr="00A277CB">
        <w:rPr>
          <w:rFonts w:ascii="Work Sans" w:hAnsi="Work Sans" w:cs="Arial"/>
          <w:sz w:val="24"/>
        </w:rPr>
        <w:t>En ese sentido, al momento de definir usos del suelo para nuevos proyectos urbanísticos o de infraestructura, las autoridades territoriales deben considerar las condiciones de seguridad asociadas a corredores de oleoductos, poliductos y gasoductos, así como las restricciones y medidas técnicas aplicables a las franjas de terreno vinculadas a este tipo de infraestructura.</w:t>
      </w:r>
    </w:p>
    <w:p w14:paraId="292ED1F9" w14:textId="77777777" w:rsidR="00A277CB" w:rsidRPr="00A277CB" w:rsidRDefault="00A277CB" w:rsidP="00A277CB">
      <w:pPr>
        <w:suppressAutoHyphens w:val="0"/>
        <w:spacing w:after="0" w:line="240" w:lineRule="auto"/>
        <w:ind w:right="141"/>
        <w:jc w:val="both"/>
        <w:rPr>
          <w:rFonts w:ascii="Work Sans" w:hAnsi="Work Sans" w:cs="Arial"/>
          <w:sz w:val="24"/>
        </w:rPr>
      </w:pPr>
    </w:p>
    <w:p w14:paraId="37AA3603" w14:textId="0439FA87" w:rsidR="00A277CB" w:rsidRDefault="00A277CB" w:rsidP="00A277CB">
      <w:pPr>
        <w:suppressAutoHyphens w:val="0"/>
        <w:spacing w:after="0" w:line="240" w:lineRule="auto"/>
        <w:ind w:right="141"/>
        <w:jc w:val="both"/>
        <w:rPr>
          <w:rFonts w:ascii="Work Sans" w:hAnsi="Work Sans" w:cs="Arial"/>
          <w:sz w:val="24"/>
        </w:rPr>
      </w:pPr>
      <w:r w:rsidRPr="00A277CB">
        <w:rPr>
          <w:rFonts w:ascii="Work Sans" w:hAnsi="Work Sans" w:cs="Arial"/>
          <w:sz w:val="24"/>
        </w:rPr>
        <w:t>Lo anterior cobra especial relevancia en aquellos eventos en los que existan proyectos previamente construidos o en operación relacionados con el transporte de hidrocarburos por ductos, con el propósito de minimizar la probabilidad de eventos accidentales que puedan generar afectaciones a la población circundante, al ambiente o a la continuidad y seguridad de la operación de dicha infraestructura.</w:t>
      </w:r>
    </w:p>
    <w:p w14:paraId="6529D95A" w14:textId="77777777" w:rsidR="00872A1A" w:rsidRPr="00872A1A" w:rsidRDefault="00872A1A" w:rsidP="00872A1A">
      <w:pPr>
        <w:suppressAutoHyphens w:val="0"/>
        <w:spacing w:after="0" w:line="240" w:lineRule="auto"/>
        <w:ind w:right="141"/>
        <w:rPr>
          <w:rFonts w:ascii="Work Sans" w:eastAsia="Times New Roman" w:hAnsi="Work Sans" w:cs="Arial"/>
          <w:i/>
          <w:iCs/>
          <w:sz w:val="24"/>
          <w:szCs w:val="24"/>
          <w:lang w:eastAsia="es-CO"/>
        </w:rPr>
      </w:pPr>
    </w:p>
    <w:p w14:paraId="11844F0E" w14:textId="3ED01251" w:rsidR="00872A1A" w:rsidRPr="00A277CB" w:rsidRDefault="00872A1A" w:rsidP="00C04715">
      <w:pPr>
        <w:pStyle w:val="Prrafodelista"/>
        <w:numPr>
          <w:ilvl w:val="0"/>
          <w:numId w:val="12"/>
        </w:numPr>
        <w:suppressAutoHyphens w:val="0"/>
        <w:spacing w:after="0" w:line="240" w:lineRule="auto"/>
        <w:ind w:left="0" w:right="141"/>
        <w:jc w:val="both"/>
        <w:rPr>
          <w:rFonts w:ascii="Work Sans" w:eastAsia="Times New Roman" w:hAnsi="Work Sans" w:cs="Arial"/>
          <w:i/>
          <w:iCs/>
          <w:sz w:val="24"/>
          <w:szCs w:val="24"/>
          <w:lang w:eastAsia="es-CO"/>
        </w:rPr>
      </w:pPr>
      <w:r w:rsidRPr="00A277CB">
        <w:rPr>
          <w:rFonts w:ascii="Work Sans" w:eastAsia="Times New Roman" w:hAnsi="Work Sans" w:cs="Arial"/>
          <w:i/>
          <w:iCs/>
          <w:sz w:val="24"/>
          <w:szCs w:val="24"/>
          <w:lang w:eastAsia="es-CO"/>
        </w:rPr>
        <w:t>Cualquier normativa aplicable a la infraestructura de tra</w:t>
      </w:r>
      <w:r w:rsidR="004846B7" w:rsidRPr="00A277CB">
        <w:rPr>
          <w:rFonts w:ascii="Work Sans" w:eastAsia="Times New Roman" w:hAnsi="Work Sans" w:cs="Arial"/>
          <w:i/>
          <w:iCs/>
          <w:sz w:val="24"/>
          <w:szCs w:val="24"/>
          <w:lang w:eastAsia="es-CO"/>
        </w:rPr>
        <w:t>n</w:t>
      </w:r>
      <w:r w:rsidRPr="00A277CB">
        <w:rPr>
          <w:rFonts w:ascii="Work Sans" w:eastAsia="Times New Roman" w:hAnsi="Work Sans" w:cs="Arial"/>
          <w:i/>
          <w:iCs/>
          <w:sz w:val="24"/>
          <w:szCs w:val="24"/>
          <w:lang w:eastAsia="es-CO"/>
        </w:rPr>
        <w:t>sporte de hidrocarburos y que deba ser tomada en consideración para el desarrollo de proyectos de infraestructura y transporte</w:t>
      </w:r>
      <w:r w:rsidR="00A277CB">
        <w:rPr>
          <w:rFonts w:ascii="Work Sans" w:eastAsia="Times New Roman" w:hAnsi="Work Sans" w:cs="Arial"/>
          <w:i/>
          <w:iCs/>
          <w:sz w:val="24"/>
          <w:szCs w:val="24"/>
          <w:lang w:eastAsia="es-CO"/>
        </w:rPr>
        <w:t>.</w:t>
      </w:r>
    </w:p>
    <w:p w14:paraId="72097623" w14:textId="08564925" w:rsidR="002201A0" w:rsidRPr="00366095" w:rsidRDefault="002201A0" w:rsidP="00A15A45">
      <w:pPr>
        <w:suppressAutoHyphens w:val="0"/>
        <w:spacing w:after="0" w:line="240" w:lineRule="auto"/>
        <w:ind w:right="141"/>
        <w:jc w:val="both"/>
        <w:rPr>
          <w:rFonts w:ascii="Work Sans" w:eastAsia="Times New Roman" w:hAnsi="Work Sans" w:cs="Arial"/>
          <w:sz w:val="24"/>
          <w:szCs w:val="24"/>
          <w:lang w:eastAsia="es-CO"/>
        </w:rPr>
      </w:pPr>
    </w:p>
    <w:p w14:paraId="7140BAEC" w14:textId="30FC63FE" w:rsidR="00A15A45" w:rsidRDefault="00A15A45" w:rsidP="00A15A45">
      <w:pPr>
        <w:suppressAutoHyphens w:val="0"/>
        <w:spacing w:after="0" w:line="240" w:lineRule="auto"/>
        <w:ind w:right="141"/>
        <w:jc w:val="both"/>
        <w:rPr>
          <w:rFonts w:ascii="Work Sans" w:eastAsia="Times New Roman" w:hAnsi="Work Sans" w:cs="Arial"/>
          <w:sz w:val="24"/>
          <w:szCs w:val="24"/>
          <w:lang w:eastAsia="es-CO"/>
        </w:rPr>
      </w:pPr>
      <w:r w:rsidRPr="00366095">
        <w:rPr>
          <w:rFonts w:ascii="Work Sans" w:eastAsia="Times New Roman" w:hAnsi="Work Sans" w:cs="Arial"/>
          <w:sz w:val="24"/>
          <w:szCs w:val="24"/>
          <w:lang w:eastAsia="es-CO"/>
        </w:rPr>
        <w:t xml:space="preserve">Las presentes normas están dirigidas a los operadores y/o transportadores y otros actores de la cadena de </w:t>
      </w:r>
      <w:r w:rsidR="00366095">
        <w:rPr>
          <w:rFonts w:ascii="Work Sans" w:eastAsia="Times New Roman" w:hAnsi="Work Sans" w:cs="Arial"/>
          <w:sz w:val="24"/>
          <w:szCs w:val="24"/>
          <w:lang w:eastAsia="es-CO"/>
        </w:rPr>
        <w:t xml:space="preserve">valor de </w:t>
      </w:r>
      <w:r w:rsidRPr="00366095">
        <w:rPr>
          <w:rFonts w:ascii="Work Sans" w:eastAsia="Times New Roman" w:hAnsi="Work Sans" w:cs="Arial"/>
          <w:sz w:val="24"/>
          <w:szCs w:val="24"/>
          <w:lang w:eastAsia="es-CO"/>
        </w:rPr>
        <w:t>hidrocarburos</w:t>
      </w:r>
      <w:r w:rsidR="00366095">
        <w:rPr>
          <w:rFonts w:ascii="Work Sans" w:eastAsia="Times New Roman" w:hAnsi="Work Sans" w:cs="Arial"/>
          <w:sz w:val="24"/>
          <w:szCs w:val="24"/>
          <w:lang w:eastAsia="es-CO"/>
        </w:rPr>
        <w:t>.</w:t>
      </w:r>
    </w:p>
    <w:p w14:paraId="5D94D01A" w14:textId="31006491" w:rsidR="00366095" w:rsidRDefault="00366095" w:rsidP="00A15A45">
      <w:pPr>
        <w:suppressAutoHyphens w:val="0"/>
        <w:spacing w:after="0" w:line="240" w:lineRule="auto"/>
        <w:ind w:right="141"/>
        <w:jc w:val="both"/>
        <w:rPr>
          <w:rFonts w:ascii="Work Sans" w:eastAsia="Times New Roman" w:hAnsi="Work Sans" w:cs="Arial"/>
          <w:sz w:val="24"/>
          <w:szCs w:val="24"/>
          <w:lang w:eastAsia="es-CO"/>
        </w:rPr>
      </w:pPr>
    </w:p>
    <w:p w14:paraId="771ED076" w14:textId="2F72B384" w:rsidR="00366095" w:rsidRPr="00922A9A" w:rsidRDefault="00366095" w:rsidP="0028225F">
      <w:pPr>
        <w:pStyle w:val="Prrafodelista"/>
        <w:numPr>
          <w:ilvl w:val="0"/>
          <w:numId w:val="13"/>
        </w:numPr>
        <w:suppressAutoHyphens w:val="0"/>
        <w:spacing w:after="0" w:line="240" w:lineRule="auto"/>
        <w:ind w:left="0" w:right="141" w:hanging="284"/>
        <w:jc w:val="both"/>
        <w:rPr>
          <w:rFonts w:ascii="Work Sans" w:eastAsia="Times New Roman" w:hAnsi="Work Sans" w:cs="Arial"/>
          <w:sz w:val="24"/>
          <w:szCs w:val="24"/>
          <w:lang w:eastAsia="es-CO"/>
        </w:rPr>
      </w:pPr>
      <w:r w:rsidRPr="00922A9A">
        <w:rPr>
          <w:rFonts w:ascii="Work Sans" w:eastAsia="Times New Roman" w:hAnsi="Work Sans" w:cs="Arial"/>
          <w:sz w:val="24"/>
          <w:szCs w:val="24"/>
          <w:lang w:eastAsia="es-CO"/>
        </w:rPr>
        <w:t>Artículos 45 a 57 y 189 a 209 del Decreto – Ley 1056 de 1953 (</w:t>
      </w:r>
      <w:r w:rsidRPr="00922A9A">
        <w:rPr>
          <w:rFonts w:ascii="Work Sans" w:eastAsia="Times New Roman" w:hAnsi="Work Sans" w:cs="Arial"/>
          <w:i/>
          <w:iCs/>
          <w:sz w:val="24"/>
          <w:szCs w:val="24"/>
          <w:lang w:eastAsia="es-CO"/>
        </w:rPr>
        <w:t>Código de Petróleos</w:t>
      </w:r>
      <w:r w:rsidRPr="00922A9A">
        <w:rPr>
          <w:rFonts w:ascii="Work Sans" w:eastAsia="Times New Roman" w:hAnsi="Work Sans" w:cs="Arial"/>
          <w:sz w:val="24"/>
          <w:szCs w:val="24"/>
          <w:lang w:eastAsia="es-CO"/>
        </w:rPr>
        <w:t>) establecen los requisitos, procedimientos, derechos y obligaciones para llevar a cabo la actividad de transporte de hidrocarburos por oleoductos.</w:t>
      </w:r>
    </w:p>
    <w:p w14:paraId="5E5D9802" w14:textId="479D6263" w:rsidR="00366095" w:rsidRDefault="00366095" w:rsidP="0028225F">
      <w:pPr>
        <w:suppressAutoHyphens w:val="0"/>
        <w:spacing w:after="0" w:line="240" w:lineRule="auto"/>
        <w:ind w:right="141" w:hanging="284"/>
        <w:jc w:val="both"/>
        <w:rPr>
          <w:rFonts w:ascii="Work Sans" w:eastAsia="Times New Roman" w:hAnsi="Work Sans" w:cs="Arial"/>
          <w:sz w:val="24"/>
          <w:szCs w:val="24"/>
          <w:lang w:eastAsia="es-CO"/>
        </w:rPr>
      </w:pPr>
    </w:p>
    <w:p w14:paraId="7BD44BC0" w14:textId="134235A8" w:rsidR="00366095" w:rsidRPr="00922A9A" w:rsidRDefault="00366095" w:rsidP="0028225F">
      <w:pPr>
        <w:pStyle w:val="Prrafodelista"/>
        <w:numPr>
          <w:ilvl w:val="0"/>
          <w:numId w:val="13"/>
        </w:numPr>
        <w:suppressAutoHyphens w:val="0"/>
        <w:spacing w:after="0" w:line="240" w:lineRule="auto"/>
        <w:ind w:left="0" w:right="141" w:hanging="284"/>
        <w:jc w:val="both"/>
        <w:rPr>
          <w:rFonts w:ascii="Work Sans" w:eastAsia="Times New Roman" w:hAnsi="Work Sans" w:cs="Arial"/>
          <w:i/>
          <w:iCs/>
          <w:sz w:val="24"/>
          <w:szCs w:val="24"/>
          <w:lang w:eastAsia="es-CO"/>
        </w:rPr>
      </w:pPr>
      <w:r w:rsidRPr="00922A9A">
        <w:rPr>
          <w:rFonts w:ascii="Work Sans" w:eastAsia="Times New Roman" w:hAnsi="Work Sans" w:cs="Arial"/>
          <w:sz w:val="24"/>
          <w:szCs w:val="24"/>
          <w:lang w:eastAsia="es-CO"/>
        </w:rPr>
        <w:t xml:space="preserve">Decreto 1073 de 2015 </w:t>
      </w:r>
      <w:r w:rsidRPr="00922A9A">
        <w:rPr>
          <w:rFonts w:ascii="Work Sans" w:eastAsia="Times New Roman" w:hAnsi="Work Sans" w:cs="Arial"/>
          <w:i/>
          <w:iCs/>
          <w:sz w:val="24"/>
          <w:szCs w:val="24"/>
          <w:lang w:eastAsia="es-CO"/>
        </w:rPr>
        <w:t>"Por medio del cual se expide el Decreto Único Reglamentario del Sector Administrativo de Minas y Energía"</w:t>
      </w:r>
    </w:p>
    <w:p w14:paraId="6E112BD8" w14:textId="23CBF80E" w:rsidR="00922A9A" w:rsidRDefault="00922A9A" w:rsidP="0028225F">
      <w:pPr>
        <w:suppressAutoHyphens w:val="0"/>
        <w:spacing w:after="0" w:line="240" w:lineRule="auto"/>
        <w:ind w:right="141" w:hanging="284"/>
        <w:jc w:val="both"/>
        <w:rPr>
          <w:rFonts w:ascii="Work Sans" w:eastAsia="Times New Roman" w:hAnsi="Work Sans" w:cs="Arial"/>
          <w:i/>
          <w:iCs/>
          <w:sz w:val="24"/>
          <w:szCs w:val="24"/>
          <w:lang w:eastAsia="es-CO"/>
        </w:rPr>
      </w:pPr>
    </w:p>
    <w:p w14:paraId="5D4A11A1" w14:textId="77777777" w:rsidR="00922A9A" w:rsidRPr="00922A9A" w:rsidRDefault="00922A9A" w:rsidP="0028225F">
      <w:pPr>
        <w:pStyle w:val="Prrafodelista"/>
        <w:numPr>
          <w:ilvl w:val="0"/>
          <w:numId w:val="13"/>
        </w:numPr>
        <w:shd w:val="clear" w:color="auto" w:fill="FFFFFF"/>
        <w:spacing w:after="0" w:line="240" w:lineRule="auto"/>
        <w:ind w:left="0" w:hanging="284"/>
        <w:jc w:val="both"/>
        <w:rPr>
          <w:rFonts w:ascii="Work Sans" w:eastAsia="Times New Roman" w:hAnsi="Work Sans" w:cs="Arial"/>
          <w:sz w:val="24"/>
          <w:szCs w:val="24"/>
          <w:lang w:eastAsia="es-CO"/>
        </w:rPr>
      </w:pPr>
      <w:r w:rsidRPr="00922A9A">
        <w:rPr>
          <w:rFonts w:ascii="Work Sans" w:eastAsia="Times New Roman" w:hAnsi="Work Sans" w:cs="Arial"/>
          <w:sz w:val="24"/>
          <w:szCs w:val="24"/>
          <w:lang w:eastAsia="es-CO"/>
        </w:rPr>
        <w:t xml:space="preserve">Reglamento Único de Transporte de Gas Natural RUT (CREG 071 de 1999), </w:t>
      </w:r>
    </w:p>
    <w:p w14:paraId="110AF6AF" w14:textId="77777777" w:rsidR="00922A9A" w:rsidRPr="00922A9A" w:rsidRDefault="00922A9A" w:rsidP="0028225F">
      <w:pPr>
        <w:shd w:val="clear" w:color="auto" w:fill="FFFFFF"/>
        <w:spacing w:after="0" w:line="240" w:lineRule="auto"/>
        <w:ind w:hanging="284"/>
        <w:jc w:val="both"/>
        <w:rPr>
          <w:rFonts w:ascii="Work Sans" w:eastAsia="Times New Roman" w:hAnsi="Work Sans" w:cs="Arial"/>
          <w:sz w:val="24"/>
          <w:szCs w:val="24"/>
          <w:lang w:eastAsia="es-CO"/>
        </w:rPr>
      </w:pPr>
    </w:p>
    <w:p w14:paraId="41F90AA3" w14:textId="77777777" w:rsidR="00922A9A" w:rsidRPr="00922A9A" w:rsidRDefault="00922A9A" w:rsidP="0028225F">
      <w:pPr>
        <w:pStyle w:val="Prrafodelista"/>
        <w:numPr>
          <w:ilvl w:val="0"/>
          <w:numId w:val="13"/>
        </w:numPr>
        <w:shd w:val="clear" w:color="auto" w:fill="FFFFFF"/>
        <w:spacing w:after="0" w:line="240" w:lineRule="auto"/>
        <w:ind w:left="0" w:hanging="284"/>
        <w:jc w:val="both"/>
        <w:rPr>
          <w:rFonts w:ascii="Work Sans" w:eastAsia="Times New Roman" w:hAnsi="Work Sans" w:cs="Arial"/>
          <w:sz w:val="24"/>
          <w:szCs w:val="24"/>
          <w:lang w:eastAsia="es-CO"/>
        </w:rPr>
      </w:pPr>
      <w:r w:rsidRPr="00922A9A">
        <w:rPr>
          <w:rFonts w:ascii="Work Sans" w:eastAsia="Times New Roman" w:hAnsi="Work Sans" w:cs="Arial"/>
          <w:sz w:val="24"/>
          <w:szCs w:val="24"/>
          <w:lang w:eastAsia="es-CO"/>
        </w:rPr>
        <w:t xml:space="preserve">Reglamento de Transporte por Poliductos - RTP (CREG 208 de 2021) </w:t>
      </w:r>
    </w:p>
    <w:p w14:paraId="1F1A0F3E" w14:textId="77777777" w:rsidR="00922A9A" w:rsidRPr="00922A9A" w:rsidRDefault="00922A9A" w:rsidP="0028225F">
      <w:pPr>
        <w:shd w:val="clear" w:color="auto" w:fill="FFFFFF"/>
        <w:spacing w:after="0" w:line="240" w:lineRule="auto"/>
        <w:ind w:hanging="284"/>
        <w:jc w:val="both"/>
        <w:rPr>
          <w:rFonts w:ascii="Work Sans" w:eastAsia="Times New Roman" w:hAnsi="Work Sans" w:cs="Arial"/>
          <w:sz w:val="24"/>
          <w:szCs w:val="24"/>
          <w:lang w:eastAsia="es-CO"/>
        </w:rPr>
      </w:pPr>
    </w:p>
    <w:p w14:paraId="6B5102C0" w14:textId="4BE68345" w:rsidR="00922A9A" w:rsidRDefault="00922A9A" w:rsidP="0028225F">
      <w:pPr>
        <w:pStyle w:val="Default"/>
        <w:numPr>
          <w:ilvl w:val="0"/>
          <w:numId w:val="13"/>
        </w:numPr>
        <w:ind w:left="0" w:hanging="284"/>
        <w:jc w:val="both"/>
        <w:rPr>
          <w:rFonts w:eastAsia="Times New Roman" w:cs="Arial"/>
          <w:color w:val="auto"/>
          <w:lang w:eastAsia="es-CO"/>
        </w:rPr>
      </w:pPr>
      <w:r w:rsidRPr="00922A9A">
        <w:rPr>
          <w:rFonts w:eastAsia="Times New Roman" w:cs="Arial"/>
          <w:color w:val="auto"/>
          <w:lang w:eastAsia="es-CO"/>
        </w:rPr>
        <w:t>Reglamento del Transporte por Oleoductos Resolución 00574 de 2026 de Ministerio de Minas y Energía.</w:t>
      </w:r>
    </w:p>
    <w:p w14:paraId="423A9E1A" w14:textId="77777777" w:rsidR="0028225F" w:rsidRPr="00922A9A" w:rsidRDefault="0028225F" w:rsidP="0028225F">
      <w:pPr>
        <w:pStyle w:val="Default"/>
        <w:jc w:val="both"/>
        <w:rPr>
          <w:rFonts w:eastAsia="Times New Roman" w:cs="Arial"/>
          <w:color w:val="auto"/>
          <w:lang w:eastAsia="es-CO"/>
        </w:rPr>
      </w:pPr>
    </w:p>
    <w:p w14:paraId="4824B42F" w14:textId="3486A77B" w:rsidR="0028225F" w:rsidRPr="0028225F" w:rsidRDefault="0028225F" w:rsidP="0028225F">
      <w:pPr>
        <w:pStyle w:val="Default"/>
        <w:numPr>
          <w:ilvl w:val="0"/>
          <w:numId w:val="13"/>
        </w:numPr>
        <w:ind w:left="0" w:hanging="284"/>
        <w:jc w:val="both"/>
        <w:rPr>
          <w:rFonts w:eastAsia="Times New Roman" w:cs="Arial"/>
          <w:lang w:eastAsia="es-CO"/>
        </w:rPr>
      </w:pPr>
      <w:r w:rsidRPr="0028225F">
        <w:rPr>
          <w:rFonts w:eastAsia="Times New Roman" w:cs="Arial"/>
          <w:lang w:eastAsia="es-CO"/>
        </w:rPr>
        <w:t xml:space="preserve">NTC 5901 del 2012, emite pautas en materia de gestión de integridad se sistemas de tubería para transporte de líquidos peligrosos, dicha norma técnica es el equivalente nacional del API1160 Managing System Integrity for Hazardous Liquid Pipelines, esta última, que, a su vez,  esta referenciada en el código de construcción ASMEB31.4, que trata temas de integridad de oleoductos y poliductos. </w:t>
      </w:r>
    </w:p>
    <w:p w14:paraId="432158B9" w14:textId="77777777" w:rsidR="0028225F" w:rsidRPr="0028225F" w:rsidRDefault="0028225F" w:rsidP="0028225F">
      <w:pPr>
        <w:pStyle w:val="Default"/>
        <w:jc w:val="both"/>
        <w:rPr>
          <w:rFonts w:eastAsia="Times New Roman" w:cs="Arial"/>
          <w:lang w:eastAsia="es-CO"/>
        </w:rPr>
      </w:pPr>
    </w:p>
    <w:p w14:paraId="62F7EADB" w14:textId="71558F64" w:rsidR="00922A9A" w:rsidRDefault="0028225F" w:rsidP="0028225F">
      <w:pPr>
        <w:pStyle w:val="Default"/>
        <w:numPr>
          <w:ilvl w:val="0"/>
          <w:numId w:val="13"/>
        </w:numPr>
        <w:ind w:left="0"/>
        <w:jc w:val="both"/>
        <w:rPr>
          <w:rFonts w:eastAsia="Times New Roman" w:cs="Arial"/>
          <w:lang w:eastAsia="es-CO"/>
        </w:rPr>
      </w:pPr>
      <w:r w:rsidRPr="0028225F">
        <w:rPr>
          <w:rFonts w:eastAsia="Times New Roman" w:cs="Arial"/>
          <w:lang w:eastAsia="es-CO"/>
        </w:rPr>
        <w:t>En materia de gasoductos, la NTC 5747 del 2009, emite pautas en materia de Gestión de integridad de gasoductos, dicha norma técnica es el equivalente nacional del B31.8S - Managing System Integrity of Gas Pipelines, esta última, que a su vez, esta referenciada en el código de construcción ASME B31.8 - Gas Transmission and Distribution Piping Systems, que como se indicó previamente, fue aplicada mediante NTC 3728 del 2018, GASODUCTOS. LÍNEAS DE TRANSPORTE Y REDES DE DISTRIBUCIÓN DE GAS.</w:t>
      </w:r>
    </w:p>
    <w:p w14:paraId="11F4CBFC" w14:textId="77777777" w:rsidR="00366095" w:rsidRDefault="00366095" w:rsidP="00A15A45">
      <w:pPr>
        <w:suppressAutoHyphens w:val="0"/>
        <w:spacing w:after="0" w:line="240" w:lineRule="auto"/>
        <w:ind w:right="141"/>
        <w:jc w:val="both"/>
        <w:rPr>
          <w:rFonts w:ascii="Work Sans" w:eastAsia="Times New Roman" w:hAnsi="Work Sans" w:cs="Arial"/>
          <w:sz w:val="24"/>
          <w:szCs w:val="24"/>
          <w:lang w:eastAsia="es-CO"/>
        </w:rPr>
      </w:pPr>
    </w:p>
    <w:p w14:paraId="7D0A86F2" w14:textId="54C7E2D9" w:rsidR="00DA7BAF" w:rsidRDefault="00E50A3A" w:rsidP="00DA7BAF">
      <w:pPr>
        <w:spacing w:line="240" w:lineRule="auto"/>
        <w:ind w:right="51"/>
        <w:contextualSpacing/>
        <w:jc w:val="both"/>
        <w:rPr>
          <w:rFonts w:ascii="Work Sans" w:hAnsi="Work Sans" w:cs="Arial"/>
          <w:sz w:val="24"/>
        </w:rPr>
      </w:pPr>
      <w:r w:rsidRPr="00E50A3A">
        <w:rPr>
          <w:rFonts w:ascii="Work Sans" w:hAnsi="Work Sans" w:cs="Arial"/>
          <w:sz w:val="24"/>
        </w:rPr>
        <w:t xml:space="preserve">Finalmente, le informamos que cualquier duda o inquietud relacionada con el presente oficio podrá ser atendida a través del correo electrónico institucional </w:t>
      </w:r>
      <w:hyperlink r:id="rId9" w:history="1">
        <w:r w:rsidRPr="003511CA">
          <w:rPr>
            <w:rStyle w:val="Hipervnculo"/>
            <w:rFonts w:ascii="Work Sans" w:hAnsi="Work Sans" w:cs="Arial"/>
            <w:sz w:val="24"/>
          </w:rPr>
          <w:t>menergia@minenergia.gov.co</w:t>
        </w:r>
      </w:hyperlink>
      <w:r>
        <w:rPr>
          <w:rFonts w:ascii="Work Sans" w:hAnsi="Work Sans" w:cs="Arial"/>
          <w:sz w:val="24"/>
        </w:rPr>
        <w:t xml:space="preserve"> </w:t>
      </w:r>
      <w:r w:rsidRPr="00E50A3A">
        <w:rPr>
          <w:rFonts w:ascii="Work Sans" w:hAnsi="Work Sans" w:cs="Arial"/>
          <w:sz w:val="24"/>
        </w:rPr>
        <w:t>, indicando el número de radicado mencionado en la parte superior derecha de este documento.</w:t>
      </w:r>
    </w:p>
    <w:p w14:paraId="7F928FB5"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27AD1BE9" w:rsidR="00484A5A" w:rsidRPr="00640E5A" w:rsidRDefault="00693C2B" w:rsidP="00484A5A">
      <w:pPr>
        <w:spacing w:line="240" w:lineRule="auto"/>
        <w:ind w:right="51"/>
        <w:contextualSpacing/>
        <w:jc w:val="both"/>
        <w:rPr>
          <w:rFonts w:ascii="Work Sans" w:hAnsi="Work Sans" w:cs="Arial"/>
          <w:sz w:val="24"/>
        </w:rPr>
      </w:pPr>
      <w:r>
        <w:rPr>
          <w:rFonts w:ascii="Work Sans" w:hAnsi="Work Sans" w:cs="Arial"/>
          <w:sz w:val="24"/>
        </w:rPr>
        <w:t>Atentamente</w:t>
      </w:r>
      <w:r w:rsidR="00484A5A" w:rsidRPr="00640E5A">
        <w:rPr>
          <w:rFonts w:ascii="Work Sans" w:hAnsi="Work Sans" w:cs="Arial"/>
          <w:sz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87DB" w14:textId="77777777" w:rsidR="002A03DB" w:rsidRDefault="002A03DB">
      <w:pPr>
        <w:spacing w:after="0" w:line="240" w:lineRule="auto"/>
      </w:pPr>
      <w:r>
        <w:separator/>
      </w:r>
    </w:p>
  </w:endnote>
  <w:endnote w:type="continuationSeparator" w:id="0">
    <w:p w14:paraId="0CE0C28F" w14:textId="77777777" w:rsidR="002A03DB" w:rsidRDefault="002A0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44BC9" w14:textId="77777777" w:rsidR="002A03DB" w:rsidRDefault="002A03DB">
      <w:pPr>
        <w:spacing w:after="0" w:line="240" w:lineRule="auto"/>
      </w:pPr>
      <w:r>
        <w:separator/>
      </w:r>
    </w:p>
  </w:footnote>
  <w:footnote w:type="continuationSeparator" w:id="0">
    <w:p w14:paraId="4DBD1EA9" w14:textId="77777777" w:rsidR="002A03DB" w:rsidRDefault="002A0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7BE74B"/>
    <w:multiLevelType w:val="hybridMultilevel"/>
    <w:tmpl w:val="E7BEDE0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69654C"/>
    <w:multiLevelType w:val="hybridMultilevel"/>
    <w:tmpl w:val="1125A6A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2061092"/>
    <w:multiLevelType w:val="hybridMultilevel"/>
    <w:tmpl w:val="CFF4CC2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F7813B5"/>
    <w:multiLevelType w:val="hybridMultilevel"/>
    <w:tmpl w:val="A63810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E819A4"/>
    <w:multiLevelType w:val="hybridMultilevel"/>
    <w:tmpl w:val="D4EBCB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456CF5"/>
    <w:multiLevelType w:val="hybridMultilevel"/>
    <w:tmpl w:val="8F2866E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6" w15:restartNumberingAfterBreak="0">
    <w:nsid w:val="29281643"/>
    <w:multiLevelType w:val="hybridMultilevel"/>
    <w:tmpl w:val="5784BF9E"/>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7" w15:restartNumberingAfterBreak="0">
    <w:nsid w:val="294B41C4"/>
    <w:multiLevelType w:val="hybridMultilevel"/>
    <w:tmpl w:val="6B6E24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C9F15F8"/>
    <w:multiLevelType w:val="multilevel"/>
    <w:tmpl w:val="0B460124"/>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9" w15:restartNumberingAfterBreak="0">
    <w:nsid w:val="3B7B2FC9"/>
    <w:multiLevelType w:val="hybridMultilevel"/>
    <w:tmpl w:val="F2E0445C"/>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10" w15:restartNumberingAfterBreak="0">
    <w:nsid w:val="60FC6377"/>
    <w:multiLevelType w:val="hybridMultilevel"/>
    <w:tmpl w:val="5036B436"/>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11" w15:restartNumberingAfterBreak="0">
    <w:nsid w:val="6ABF7906"/>
    <w:multiLevelType w:val="hybridMultilevel"/>
    <w:tmpl w:val="052244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B9A20B6"/>
    <w:multiLevelType w:val="hybridMultilevel"/>
    <w:tmpl w:val="CA8CD2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28406311">
    <w:abstractNumId w:val="9"/>
  </w:num>
  <w:num w:numId="2" w16cid:durableId="1411804019">
    <w:abstractNumId w:val="5"/>
  </w:num>
  <w:num w:numId="3" w16cid:durableId="1468160154">
    <w:abstractNumId w:val="3"/>
  </w:num>
  <w:num w:numId="4" w16cid:durableId="100272074">
    <w:abstractNumId w:val="7"/>
  </w:num>
  <w:num w:numId="5" w16cid:durableId="1836997365">
    <w:abstractNumId w:val="4"/>
  </w:num>
  <w:num w:numId="6" w16cid:durableId="1238898848">
    <w:abstractNumId w:val="0"/>
  </w:num>
  <w:num w:numId="7" w16cid:durableId="1566722595">
    <w:abstractNumId w:val="6"/>
  </w:num>
  <w:num w:numId="8" w16cid:durableId="990599449">
    <w:abstractNumId w:val="10"/>
  </w:num>
  <w:num w:numId="9" w16cid:durableId="935133944">
    <w:abstractNumId w:val="8"/>
  </w:num>
  <w:num w:numId="10" w16cid:durableId="433135970">
    <w:abstractNumId w:val="2"/>
  </w:num>
  <w:num w:numId="11" w16cid:durableId="441605925">
    <w:abstractNumId w:val="1"/>
  </w:num>
  <w:num w:numId="12" w16cid:durableId="1086922771">
    <w:abstractNumId w:val="11"/>
  </w:num>
  <w:num w:numId="13" w16cid:durableId="19879778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3E4B"/>
    <w:rsid w:val="00027169"/>
    <w:rsid w:val="0002716A"/>
    <w:rsid w:val="000418C8"/>
    <w:rsid w:val="000528F7"/>
    <w:rsid w:val="0005618E"/>
    <w:rsid w:val="00060F6B"/>
    <w:rsid w:val="00070327"/>
    <w:rsid w:val="00074548"/>
    <w:rsid w:val="000A1520"/>
    <w:rsid w:val="000F5F35"/>
    <w:rsid w:val="00143472"/>
    <w:rsid w:val="00164865"/>
    <w:rsid w:val="001818F1"/>
    <w:rsid w:val="00184885"/>
    <w:rsid w:val="00187E35"/>
    <w:rsid w:val="001920E6"/>
    <w:rsid w:val="00195057"/>
    <w:rsid w:val="001B0CFA"/>
    <w:rsid w:val="001D678B"/>
    <w:rsid w:val="00215AE2"/>
    <w:rsid w:val="00215ECF"/>
    <w:rsid w:val="0021775D"/>
    <w:rsid w:val="002201A0"/>
    <w:rsid w:val="002307BF"/>
    <w:rsid w:val="002478C2"/>
    <w:rsid w:val="00253AB8"/>
    <w:rsid w:val="00261CF6"/>
    <w:rsid w:val="00262ACE"/>
    <w:rsid w:val="0028225F"/>
    <w:rsid w:val="00293AA2"/>
    <w:rsid w:val="002A006A"/>
    <w:rsid w:val="002A03DB"/>
    <w:rsid w:val="00302677"/>
    <w:rsid w:val="00310D76"/>
    <w:rsid w:val="003121A9"/>
    <w:rsid w:val="00316EA0"/>
    <w:rsid w:val="0034188C"/>
    <w:rsid w:val="00366095"/>
    <w:rsid w:val="0039492B"/>
    <w:rsid w:val="003B2B73"/>
    <w:rsid w:val="003B6B9C"/>
    <w:rsid w:val="003D6D06"/>
    <w:rsid w:val="0040794F"/>
    <w:rsid w:val="00434CCA"/>
    <w:rsid w:val="00445D3D"/>
    <w:rsid w:val="00460140"/>
    <w:rsid w:val="00477F1B"/>
    <w:rsid w:val="004846B7"/>
    <w:rsid w:val="00484A5A"/>
    <w:rsid w:val="004919C0"/>
    <w:rsid w:val="004968E0"/>
    <w:rsid w:val="00496E70"/>
    <w:rsid w:val="004A726F"/>
    <w:rsid w:val="00504338"/>
    <w:rsid w:val="00513075"/>
    <w:rsid w:val="005225C6"/>
    <w:rsid w:val="00552D64"/>
    <w:rsid w:val="005617AA"/>
    <w:rsid w:val="005646C4"/>
    <w:rsid w:val="005675D4"/>
    <w:rsid w:val="00593DF7"/>
    <w:rsid w:val="00596FE3"/>
    <w:rsid w:val="005E11A6"/>
    <w:rsid w:val="005F7666"/>
    <w:rsid w:val="00626561"/>
    <w:rsid w:val="00640E5A"/>
    <w:rsid w:val="006740F5"/>
    <w:rsid w:val="0068371F"/>
    <w:rsid w:val="00693C2B"/>
    <w:rsid w:val="00696EE4"/>
    <w:rsid w:val="006C3E75"/>
    <w:rsid w:val="006E0A5E"/>
    <w:rsid w:val="006E798F"/>
    <w:rsid w:val="00712D5E"/>
    <w:rsid w:val="00721306"/>
    <w:rsid w:val="007424B3"/>
    <w:rsid w:val="00754CEC"/>
    <w:rsid w:val="007A5A72"/>
    <w:rsid w:val="007B2A52"/>
    <w:rsid w:val="007B32AD"/>
    <w:rsid w:val="007B4C23"/>
    <w:rsid w:val="007B523C"/>
    <w:rsid w:val="007C10A7"/>
    <w:rsid w:val="00823427"/>
    <w:rsid w:val="008276D7"/>
    <w:rsid w:val="00830730"/>
    <w:rsid w:val="00833054"/>
    <w:rsid w:val="00872A1A"/>
    <w:rsid w:val="00892C0E"/>
    <w:rsid w:val="0089762C"/>
    <w:rsid w:val="008A2780"/>
    <w:rsid w:val="008C50D5"/>
    <w:rsid w:val="008E339D"/>
    <w:rsid w:val="008E4ABF"/>
    <w:rsid w:val="008F09D5"/>
    <w:rsid w:val="00922A9A"/>
    <w:rsid w:val="00923DF3"/>
    <w:rsid w:val="009359F1"/>
    <w:rsid w:val="009451F1"/>
    <w:rsid w:val="00981241"/>
    <w:rsid w:val="0098320E"/>
    <w:rsid w:val="009A3B36"/>
    <w:rsid w:val="009B7FC8"/>
    <w:rsid w:val="009C190E"/>
    <w:rsid w:val="009C5809"/>
    <w:rsid w:val="009E31D7"/>
    <w:rsid w:val="009E5228"/>
    <w:rsid w:val="009F1D04"/>
    <w:rsid w:val="00A009BF"/>
    <w:rsid w:val="00A15A45"/>
    <w:rsid w:val="00A277CB"/>
    <w:rsid w:val="00A3175E"/>
    <w:rsid w:val="00A32CE2"/>
    <w:rsid w:val="00A3590E"/>
    <w:rsid w:val="00A86526"/>
    <w:rsid w:val="00AA15A8"/>
    <w:rsid w:val="00AC0955"/>
    <w:rsid w:val="00AC7DE7"/>
    <w:rsid w:val="00AD43C1"/>
    <w:rsid w:val="00B0624C"/>
    <w:rsid w:val="00B23CA3"/>
    <w:rsid w:val="00B37B57"/>
    <w:rsid w:val="00B400CD"/>
    <w:rsid w:val="00B4250F"/>
    <w:rsid w:val="00B51607"/>
    <w:rsid w:val="00B7556B"/>
    <w:rsid w:val="00BF5E30"/>
    <w:rsid w:val="00C0455B"/>
    <w:rsid w:val="00C04715"/>
    <w:rsid w:val="00C1665A"/>
    <w:rsid w:val="00C22733"/>
    <w:rsid w:val="00CE0DCA"/>
    <w:rsid w:val="00CF7601"/>
    <w:rsid w:val="00D0073C"/>
    <w:rsid w:val="00D07531"/>
    <w:rsid w:val="00D23294"/>
    <w:rsid w:val="00D31306"/>
    <w:rsid w:val="00D57B4F"/>
    <w:rsid w:val="00D60F94"/>
    <w:rsid w:val="00D64791"/>
    <w:rsid w:val="00D73776"/>
    <w:rsid w:val="00D73C2C"/>
    <w:rsid w:val="00DA7BAF"/>
    <w:rsid w:val="00DC7B37"/>
    <w:rsid w:val="00DD4879"/>
    <w:rsid w:val="00DE1913"/>
    <w:rsid w:val="00E05A69"/>
    <w:rsid w:val="00E113E2"/>
    <w:rsid w:val="00E16918"/>
    <w:rsid w:val="00E36C14"/>
    <w:rsid w:val="00E37AC0"/>
    <w:rsid w:val="00E5079F"/>
    <w:rsid w:val="00E50A3A"/>
    <w:rsid w:val="00E812F1"/>
    <w:rsid w:val="00E823F2"/>
    <w:rsid w:val="00EB3862"/>
    <w:rsid w:val="00EE3A9E"/>
    <w:rsid w:val="00F00F7B"/>
    <w:rsid w:val="00F113AA"/>
    <w:rsid w:val="00F80A1F"/>
    <w:rsid w:val="00F94C11"/>
    <w:rsid w:val="00F9648D"/>
    <w:rsid w:val="00FA39E8"/>
    <w:rsid w:val="00FA439A"/>
    <w:rsid w:val="00FB4120"/>
    <w:rsid w:val="00FD392C"/>
    <w:rsid w:val="00FE2DE1"/>
    <w:rsid w:val="00FE711F"/>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693C2B"/>
    <w:pPr>
      <w:suppressAutoHyphens w:val="0"/>
      <w:autoSpaceDE w:val="0"/>
      <w:autoSpaceDN w:val="0"/>
      <w:adjustRightInd w:val="0"/>
    </w:pPr>
    <w:rPr>
      <w:rFonts w:ascii="Work Sans" w:hAnsi="Work Sans" w:cs="Work Sans"/>
      <w:color w:val="000000"/>
      <w:sz w:val="24"/>
      <w:szCs w:val="24"/>
    </w:rPr>
  </w:style>
  <w:style w:type="paragraph" w:styleId="Prrafodelista">
    <w:name w:val="List Paragraph"/>
    <w:basedOn w:val="Normal"/>
    <w:uiPriority w:val="34"/>
    <w:qFormat/>
    <w:rsid w:val="0040794F"/>
    <w:pPr>
      <w:ind w:left="720"/>
      <w:contextualSpacing/>
    </w:pPr>
  </w:style>
  <w:style w:type="character" w:styleId="Hipervnculo">
    <w:name w:val="Hyperlink"/>
    <w:basedOn w:val="Fuentedeprrafopredeter"/>
    <w:uiPriority w:val="99"/>
    <w:unhideWhenUsed/>
    <w:rsid w:val="00DA7BAF"/>
    <w:rPr>
      <w:color w:val="0563C1" w:themeColor="hyperlink"/>
      <w:u w:val="single"/>
    </w:rPr>
  </w:style>
  <w:style w:type="character" w:styleId="Mencinsinresolver">
    <w:name w:val="Unresolved Mention"/>
    <w:basedOn w:val="Fuentedeprrafopredeter"/>
    <w:uiPriority w:val="99"/>
    <w:semiHidden/>
    <w:unhideWhenUsed/>
    <w:rsid w:val="00FE2DE1"/>
    <w:rPr>
      <w:color w:val="605E5C"/>
      <w:shd w:val="clear" w:color="auto" w:fill="E1DFDD"/>
    </w:rPr>
  </w:style>
  <w:style w:type="character" w:styleId="Hipervnculovisitado">
    <w:name w:val="FollowedHyperlink"/>
    <w:basedOn w:val="Fuentedeprrafopredeter"/>
    <w:uiPriority w:val="99"/>
    <w:semiHidden/>
    <w:unhideWhenUsed/>
    <w:rsid w:val="006837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eo.tgi.com.co/manual-del-transportador/procedimientos-operacionales/mapa-del-sistema-de-transpor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nergia@minenergi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1116</Words>
  <Characters>6144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7</cp:revision>
  <dcterms:created xsi:type="dcterms:W3CDTF">2026-05-22T03:49:00Z</dcterms:created>
  <dcterms:modified xsi:type="dcterms:W3CDTF">2026-05-22T03:56:00Z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